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38" w:rsidRPr="0095623F" w:rsidRDefault="008D2F38" w:rsidP="008D2F38">
      <w:pPr>
        <w:rPr>
          <w:rFonts w:cs="David" w:hint="cs"/>
          <w:rtl/>
        </w:rPr>
      </w:pPr>
    </w:p>
    <w:p w:rsidR="000A01B8" w:rsidRDefault="000A01B8" w:rsidP="00012675">
      <w:pPr>
        <w:spacing w:line="276" w:lineRule="auto"/>
        <w:jc w:val="center"/>
        <w:rPr>
          <w:rFonts w:cs="David"/>
          <w:rtl/>
        </w:rPr>
      </w:pPr>
      <w:r>
        <w:rPr>
          <w:i/>
          <w:iCs/>
          <w:noProof/>
          <w:lang w:eastAsia="en-US"/>
        </w:rPr>
        <w:drawing>
          <wp:inline distT="0" distB="0" distL="0" distR="0">
            <wp:extent cx="1885950" cy="77152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771525"/>
                    </a:xfrm>
                    <a:prstGeom prst="rect">
                      <a:avLst/>
                    </a:prstGeom>
                    <a:noFill/>
                    <a:ln>
                      <a:noFill/>
                    </a:ln>
                  </pic:spPr>
                </pic:pic>
              </a:graphicData>
            </a:graphic>
          </wp:inline>
        </w:drawing>
      </w:r>
    </w:p>
    <w:p w:rsidR="00A2409D" w:rsidRPr="0095623F" w:rsidRDefault="00A2409D" w:rsidP="009671C5">
      <w:pPr>
        <w:spacing w:line="276" w:lineRule="auto"/>
        <w:jc w:val="center"/>
        <w:rPr>
          <w:rFonts w:cs="David"/>
          <w:rtl/>
        </w:rPr>
      </w:pPr>
      <w:r w:rsidRPr="0095623F">
        <w:rPr>
          <w:rFonts w:cs="David" w:hint="cs"/>
          <w:rtl/>
        </w:rPr>
        <w:t>שם הקורס: אסלאם ותרבות המערב</w:t>
      </w:r>
    </w:p>
    <w:p w:rsidR="00A2409D" w:rsidRPr="0095623F" w:rsidRDefault="00A2409D" w:rsidP="009671C5">
      <w:pPr>
        <w:spacing w:line="276" w:lineRule="auto"/>
        <w:jc w:val="center"/>
        <w:rPr>
          <w:rFonts w:cs="David"/>
          <w:rtl/>
        </w:rPr>
      </w:pPr>
      <w:r w:rsidRPr="0095623F">
        <w:rPr>
          <w:rFonts w:cs="David" w:hint="cs"/>
          <w:rtl/>
        </w:rPr>
        <w:t>קורס בחירה</w:t>
      </w:r>
    </w:p>
    <w:p w:rsidR="008D2F38" w:rsidRPr="009671C5" w:rsidRDefault="00A2409D" w:rsidP="009671C5">
      <w:pPr>
        <w:spacing w:line="276" w:lineRule="auto"/>
        <w:jc w:val="center"/>
        <w:rPr>
          <w:rFonts w:cs="David"/>
          <w:b/>
          <w:bCs/>
          <w:sz w:val="40"/>
          <w:szCs w:val="40"/>
          <w:u w:val="single"/>
          <w:rtl/>
        </w:rPr>
      </w:pPr>
      <w:r w:rsidRPr="0095623F">
        <w:rPr>
          <w:rFonts w:cs="David" w:hint="cs"/>
          <w:rtl/>
        </w:rPr>
        <w:t>סמס' ב תשע"ה</w:t>
      </w:r>
      <w:r w:rsidR="008D2F38" w:rsidRPr="009671C5">
        <w:rPr>
          <w:rFonts w:cs="David" w:hint="cs"/>
          <w:b/>
          <w:bCs/>
          <w:sz w:val="40"/>
          <w:szCs w:val="40"/>
          <w:u w:val="single"/>
          <w:rtl/>
        </w:rPr>
        <w:t xml:space="preserve"> </w:t>
      </w:r>
    </w:p>
    <w:p w:rsidR="008D2F38" w:rsidRDefault="008D2F38" w:rsidP="008D2F38">
      <w:pPr>
        <w:spacing w:line="276" w:lineRule="auto"/>
        <w:rPr>
          <w:rFonts w:cs="David"/>
          <w:u w:val="single"/>
          <w:rtl/>
        </w:rPr>
      </w:pPr>
    </w:p>
    <w:p w:rsidR="008D2F38" w:rsidRDefault="008D2F38" w:rsidP="008D2F38">
      <w:pPr>
        <w:spacing w:line="276" w:lineRule="auto"/>
        <w:rPr>
          <w:rFonts w:cs="David"/>
          <w:rtl/>
        </w:rPr>
      </w:pPr>
      <w:r>
        <w:rPr>
          <w:rFonts w:cs="David" w:hint="cs"/>
          <w:b/>
          <w:bCs/>
          <w:u w:val="single"/>
          <w:rtl/>
        </w:rPr>
        <w:t>מרצה</w:t>
      </w:r>
      <w:r>
        <w:rPr>
          <w:rFonts w:cs="David" w:hint="cs"/>
          <w:b/>
          <w:bCs/>
          <w:rtl/>
        </w:rPr>
        <w:t>:</w:t>
      </w:r>
      <w:r>
        <w:rPr>
          <w:rFonts w:cs="David" w:hint="cs"/>
          <w:rtl/>
        </w:rPr>
        <w:t xml:space="preserve"> ד"ר צבי בראל</w:t>
      </w:r>
    </w:p>
    <w:p w:rsidR="008D2F38" w:rsidRDefault="008D2F38" w:rsidP="009671C5">
      <w:pPr>
        <w:spacing w:line="276" w:lineRule="auto"/>
        <w:rPr>
          <w:rFonts w:cs="David"/>
          <w:rtl/>
        </w:rPr>
      </w:pPr>
      <w:r>
        <w:rPr>
          <w:rFonts w:cs="David" w:hint="cs"/>
          <w:rtl/>
        </w:rPr>
        <w:t>שעת קבלה: על פי תיאום מראש.</w:t>
      </w:r>
    </w:p>
    <w:p w:rsidR="008D2F38" w:rsidRDefault="008D2F38" w:rsidP="008D2F38">
      <w:pPr>
        <w:spacing w:line="276" w:lineRule="auto"/>
        <w:rPr>
          <w:rFonts w:cs="David"/>
          <w:rtl/>
        </w:rPr>
      </w:pPr>
      <w:r>
        <w:rPr>
          <w:rFonts w:cs="David" w:hint="cs"/>
          <w:rtl/>
        </w:rPr>
        <w:t xml:space="preserve">מייל: </w:t>
      </w:r>
      <w:hyperlink r:id="rId7" w:history="1">
        <w:r>
          <w:rPr>
            <w:rStyle w:val="Hyperlink"/>
            <w:rFonts w:cs="David"/>
          </w:rPr>
          <w:t>pilke@netvision.net.il</w:t>
        </w:r>
      </w:hyperlink>
    </w:p>
    <w:p w:rsidR="008D2F38" w:rsidRDefault="008D2F38" w:rsidP="008D2F38">
      <w:pPr>
        <w:spacing w:line="276" w:lineRule="auto"/>
        <w:rPr>
          <w:rFonts w:cs="David"/>
          <w:b/>
          <w:bCs/>
          <w:u w:val="single"/>
        </w:rPr>
      </w:pPr>
    </w:p>
    <w:p w:rsidR="008D2F38" w:rsidRDefault="00A2409D" w:rsidP="008D2F38">
      <w:pPr>
        <w:pStyle w:val="a3"/>
        <w:spacing w:line="276" w:lineRule="auto"/>
        <w:rPr>
          <w:rFonts w:cs="David"/>
          <w:b/>
          <w:bCs/>
          <w:sz w:val="24"/>
          <w:szCs w:val="24"/>
          <w:u w:val="single"/>
          <w:rtl/>
        </w:rPr>
      </w:pPr>
      <w:r>
        <w:rPr>
          <w:rFonts w:cs="David" w:hint="cs"/>
          <w:b/>
          <w:bCs/>
          <w:noProof w:val="0"/>
          <w:sz w:val="24"/>
          <w:szCs w:val="24"/>
          <w:u w:val="single"/>
          <w:rtl/>
        </w:rPr>
        <w:t xml:space="preserve">תקציר </w:t>
      </w:r>
      <w:r w:rsidR="008D2F38">
        <w:rPr>
          <w:rFonts w:cs="David" w:hint="cs"/>
          <w:b/>
          <w:bCs/>
          <w:sz w:val="24"/>
          <w:szCs w:val="24"/>
          <w:u w:val="single"/>
          <w:rtl/>
        </w:rPr>
        <w:t>הקורס:</w:t>
      </w:r>
    </w:p>
    <w:p w:rsidR="008D2F38" w:rsidRDefault="008D2F38" w:rsidP="008D2F38">
      <w:pPr>
        <w:rPr>
          <w:rFonts w:cs="David"/>
          <w:b/>
          <w:bCs/>
          <w:u w:val="single"/>
          <w:rtl/>
        </w:rPr>
      </w:pPr>
    </w:p>
    <w:p w:rsidR="008D2F38" w:rsidRPr="0095623F" w:rsidRDefault="008D2F38" w:rsidP="003E54F8">
      <w:pPr>
        <w:spacing w:line="360" w:lineRule="auto"/>
        <w:rPr>
          <w:rFonts w:cs="David"/>
          <w:rtl/>
        </w:rPr>
      </w:pPr>
      <w:r w:rsidRPr="0095623F">
        <w:rPr>
          <w:rFonts w:cs="David"/>
          <w:rtl/>
        </w:rPr>
        <w:t xml:space="preserve">מטרת הקורס </w:t>
      </w:r>
      <w:r w:rsidRPr="0095623F">
        <w:rPr>
          <w:rFonts w:cs="David" w:hint="cs"/>
          <w:rtl/>
        </w:rPr>
        <w:t>היא ל</w:t>
      </w:r>
      <w:r w:rsidRPr="0095623F">
        <w:rPr>
          <w:rFonts w:cs="David"/>
          <w:rtl/>
        </w:rPr>
        <w:t>הכיר</w:t>
      </w:r>
      <w:r w:rsidRPr="0095623F">
        <w:rPr>
          <w:rFonts w:cs="David" w:hint="cs"/>
          <w:rtl/>
        </w:rPr>
        <w:t xml:space="preserve"> את תפישת המערב את האסלאם מן האוריינטליזם ועד המהפכות העממיות החדשות במזרח התיכון</w:t>
      </w:r>
      <w:r w:rsidR="009671C5" w:rsidRPr="0095623F">
        <w:rPr>
          <w:rFonts w:cs="David" w:hint="cs"/>
          <w:rtl/>
        </w:rPr>
        <w:t xml:space="preserve">. </w:t>
      </w:r>
      <w:r w:rsidR="00F65669" w:rsidRPr="0095623F">
        <w:rPr>
          <w:rFonts w:cs="David" w:hint="cs"/>
          <w:rtl/>
        </w:rPr>
        <w:t>נ</w:t>
      </w:r>
      <w:r w:rsidR="009671C5" w:rsidRPr="0095623F">
        <w:rPr>
          <w:rFonts w:cs="David" w:hint="cs"/>
          <w:rtl/>
        </w:rPr>
        <w:t>בחן</w:t>
      </w:r>
      <w:r w:rsidR="00F65669" w:rsidRPr="0095623F">
        <w:rPr>
          <w:rFonts w:cs="David" w:hint="cs"/>
          <w:rtl/>
        </w:rPr>
        <w:t xml:space="preserve"> בקורס </w:t>
      </w:r>
      <w:r w:rsidR="009671C5" w:rsidRPr="0095623F">
        <w:rPr>
          <w:rFonts w:cs="David" w:hint="cs"/>
          <w:rtl/>
        </w:rPr>
        <w:t>את</w:t>
      </w:r>
      <w:r w:rsidR="00F65669" w:rsidRPr="0095623F">
        <w:rPr>
          <w:rFonts w:cs="David" w:hint="cs"/>
          <w:rtl/>
        </w:rPr>
        <w:t xml:space="preserve"> עמדותיהם של זרמים ותנועות אסלאמיות כלפי המערב וכיצד מתפרשים מושגים מערביים בקרב חברות מוסלמיות וערביות.</w:t>
      </w:r>
      <w:r w:rsidRPr="0095623F">
        <w:rPr>
          <w:rFonts w:cs="David" w:hint="cs"/>
          <w:rtl/>
        </w:rPr>
        <w:t xml:space="preserve"> האם האסלאם מנסה להתאים עצמו לתפישות אלה או לבדל עצמו מהם? כיצד מתיישבת תיאורית מלחמת התרבויות עם המציאות וההגות האסלאמית</w:t>
      </w:r>
      <w:r w:rsidR="0084129D" w:rsidRPr="0095623F">
        <w:rPr>
          <w:rFonts w:cs="David" w:hint="cs"/>
          <w:rtl/>
        </w:rPr>
        <w:t xml:space="preserve"> וכיצד משפיעה הכלכלה העולמית על תפישות פוליטיות במזרח התיכון. </w:t>
      </w:r>
      <w:r w:rsidRPr="0095623F">
        <w:rPr>
          <w:rFonts w:cs="David" w:hint="cs"/>
          <w:rtl/>
        </w:rPr>
        <w:t xml:space="preserve"> </w:t>
      </w:r>
    </w:p>
    <w:p w:rsidR="00A2409D" w:rsidRDefault="00A2409D" w:rsidP="003E54F8">
      <w:pPr>
        <w:spacing w:line="360" w:lineRule="auto"/>
        <w:jc w:val="right"/>
        <w:rPr>
          <w:rFonts w:cs="David"/>
          <w:b/>
          <w:bCs/>
        </w:rPr>
      </w:pPr>
      <w:r w:rsidRPr="0095623F">
        <w:rPr>
          <w:rFonts w:cs="David"/>
        </w:rPr>
        <w:t>The course intends to follow the traditional Western approaches towards the Islamic and the Muslim states, from orientalism to the currents revolutions. Likewise we will study the Islamic attitudes toward the West and its culture</w:t>
      </w:r>
      <w:r w:rsidR="004D6066" w:rsidRPr="0095623F">
        <w:rPr>
          <w:rFonts w:cs="David"/>
        </w:rPr>
        <w:t>. We will try to understand the foundations of the cultural and political conflicts between the West and Islam while studying test cases in both sides.</w:t>
      </w:r>
    </w:p>
    <w:p w:rsidR="004D6066" w:rsidRDefault="004D6066" w:rsidP="00A2409D">
      <w:pPr>
        <w:jc w:val="right"/>
        <w:rPr>
          <w:rFonts w:cs="David"/>
          <w:b/>
          <w:bCs/>
        </w:rPr>
      </w:pPr>
    </w:p>
    <w:p w:rsidR="008D2F38" w:rsidRDefault="008D2F38" w:rsidP="008D2F38">
      <w:pPr>
        <w:rPr>
          <w:rFonts w:cs="David"/>
          <w:b/>
          <w:bCs/>
          <w:rtl/>
        </w:rPr>
      </w:pPr>
    </w:p>
    <w:p w:rsidR="008D2F38" w:rsidRPr="0095623F" w:rsidRDefault="008D2F38" w:rsidP="008D2F38">
      <w:pPr>
        <w:rPr>
          <w:rFonts w:cs="David"/>
          <w:rtl/>
        </w:rPr>
      </w:pPr>
      <w:r w:rsidRPr="0095623F">
        <w:rPr>
          <w:rFonts w:cs="David" w:hint="cs"/>
          <w:rtl/>
        </w:rPr>
        <w:t>מטלות:</w:t>
      </w:r>
    </w:p>
    <w:p w:rsidR="001A7FE5" w:rsidRPr="0095623F" w:rsidRDefault="001A7FE5" w:rsidP="001A7FE5">
      <w:pPr>
        <w:pStyle w:val="a5"/>
        <w:numPr>
          <w:ilvl w:val="0"/>
          <w:numId w:val="2"/>
        </w:numPr>
        <w:rPr>
          <w:rFonts w:cs="David"/>
          <w:rtl/>
        </w:rPr>
      </w:pPr>
      <w:r w:rsidRPr="0095623F">
        <w:rPr>
          <w:rFonts w:cs="David" w:hint="cs"/>
          <w:rtl/>
        </w:rPr>
        <w:t>נוכחות חובה</w:t>
      </w:r>
      <w:r w:rsidR="00834F2C">
        <w:rPr>
          <w:rFonts w:cs="David" w:hint="cs"/>
          <w:rtl/>
        </w:rPr>
        <w:t xml:space="preserve"> ( היעדרות מעבר לשלושה שיעורים תגרור פסילת הקורס).</w:t>
      </w:r>
    </w:p>
    <w:p w:rsidR="008D2F38" w:rsidRPr="0095623F" w:rsidRDefault="008D2F38" w:rsidP="004135FA">
      <w:pPr>
        <w:pStyle w:val="a5"/>
        <w:numPr>
          <w:ilvl w:val="0"/>
          <w:numId w:val="2"/>
        </w:numPr>
        <w:rPr>
          <w:rFonts w:cs="David"/>
        </w:rPr>
      </w:pPr>
      <w:r w:rsidRPr="0095623F">
        <w:rPr>
          <w:rFonts w:cs="David" w:hint="cs"/>
          <w:rtl/>
        </w:rPr>
        <w:t xml:space="preserve">עבודת אמצע סמסטר </w:t>
      </w:r>
      <w:r w:rsidRPr="0095623F">
        <w:rPr>
          <w:rFonts w:cs="David"/>
          <w:rtl/>
        </w:rPr>
        <w:t>–</w:t>
      </w:r>
      <w:r w:rsidRPr="0095623F">
        <w:rPr>
          <w:rFonts w:cs="David" w:hint="cs"/>
          <w:rtl/>
        </w:rPr>
        <w:t xml:space="preserve"> </w:t>
      </w:r>
      <w:r w:rsidR="004135FA">
        <w:rPr>
          <w:rFonts w:cs="David" w:hint="cs"/>
          <w:rtl/>
        </w:rPr>
        <w:t>20%</w:t>
      </w:r>
      <w:r w:rsidR="00834F2C">
        <w:rPr>
          <w:rFonts w:cs="David" w:hint="cs"/>
          <w:rtl/>
        </w:rPr>
        <w:t xml:space="preserve"> </w:t>
      </w:r>
      <w:bookmarkStart w:id="0" w:name="_GoBack"/>
      <w:r w:rsidR="00834F2C" w:rsidRPr="0088443B">
        <w:rPr>
          <w:rFonts w:cs="David" w:hint="cs"/>
          <w:b/>
          <w:bCs/>
          <w:rtl/>
        </w:rPr>
        <w:t>(תנאי מוקדם למבחן הסופי).</w:t>
      </w:r>
      <w:bookmarkEnd w:id="0"/>
    </w:p>
    <w:p w:rsidR="008D2F38" w:rsidRPr="0095623F" w:rsidRDefault="008D2F38" w:rsidP="0043680C">
      <w:pPr>
        <w:pStyle w:val="a5"/>
        <w:numPr>
          <w:ilvl w:val="0"/>
          <w:numId w:val="2"/>
        </w:numPr>
        <w:rPr>
          <w:rFonts w:cs="David"/>
          <w:rtl/>
        </w:rPr>
      </w:pPr>
      <w:r w:rsidRPr="0095623F">
        <w:rPr>
          <w:rFonts w:cs="David" w:hint="cs"/>
          <w:rtl/>
        </w:rPr>
        <w:t xml:space="preserve">מבחן סופי </w:t>
      </w:r>
      <w:r w:rsidR="00447DCA">
        <w:rPr>
          <w:rFonts w:cs="David" w:hint="cs"/>
          <w:rtl/>
        </w:rPr>
        <w:t>80% (</w:t>
      </w:r>
      <w:r w:rsidR="0043680C" w:rsidRPr="00EF1C84">
        <w:rPr>
          <w:rFonts w:cs="David"/>
          <w:b/>
          <w:bCs/>
          <w:rtl/>
        </w:rPr>
        <w:t>ציון עובר במבחן הינו תנאי להשלמת הקורס</w:t>
      </w:r>
      <w:r w:rsidR="00447DCA">
        <w:rPr>
          <w:rFonts w:cs="David" w:hint="cs"/>
          <w:rtl/>
        </w:rPr>
        <w:t>)</w:t>
      </w:r>
    </w:p>
    <w:p w:rsidR="008D2F38" w:rsidRPr="0095623F" w:rsidRDefault="008D2F38" w:rsidP="008D2F38">
      <w:pPr>
        <w:rPr>
          <w:rFonts w:cs="David"/>
          <w:rtl/>
        </w:rPr>
      </w:pPr>
    </w:p>
    <w:p w:rsidR="008D2F38" w:rsidRPr="0095623F" w:rsidRDefault="008D2F38" w:rsidP="008D2F38">
      <w:pPr>
        <w:rPr>
          <w:rFonts w:cs="David"/>
          <w:rtl/>
        </w:rPr>
      </w:pPr>
      <w:r w:rsidRPr="0095623F">
        <w:rPr>
          <w:rFonts w:cs="David" w:hint="cs"/>
          <w:rtl/>
        </w:rPr>
        <w:t xml:space="preserve">סדר השעורים: </w:t>
      </w:r>
    </w:p>
    <w:p w:rsidR="008D2F38" w:rsidRPr="0095623F" w:rsidRDefault="008D2F38" w:rsidP="008D2F38">
      <w:pPr>
        <w:rPr>
          <w:rFonts w:cs="David"/>
          <w:rtl/>
        </w:rPr>
      </w:pPr>
    </w:p>
    <w:p w:rsidR="008D2F38" w:rsidRPr="0095623F" w:rsidRDefault="008D2F38" w:rsidP="008D2F38">
      <w:pPr>
        <w:rPr>
          <w:rFonts w:cs="David"/>
          <w:rtl/>
        </w:rPr>
      </w:pPr>
      <w:r w:rsidRPr="0095623F">
        <w:rPr>
          <w:rFonts w:cs="David" w:hint="cs"/>
          <w:rtl/>
        </w:rPr>
        <w:t>1. לאומיות, דת, ומדינה</w:t>
      </w:r>
    </w:p>
    <w:p w:rsidR="008D2F38" w:rsidRPr="0095623F" w:rsidRDefault="008D2F38" w:rsidP="007C1431">
      <w:pPr>
        <w:bidi w:val="0"/>
        <w:spacing w:before="240" w:line="360" w:lineRule="auto"/>
        <w:jc w:val="right"/>
        <w:rPr>
          <w:rFonts w:cs="David"/>
          <w:rtl/>
        </w:rPr>
      </w:pPr>
      <w:r w:rsidRPr="0095623F">
        <w:rPr>
          <w:rFonts w:cs="David"/>
        </w:rPr>
        <w:t xml:space="preserve">. </w:t>
      </w:r>
      <w:r w:rsidR="0095623F">
        <w:rPr>
          <w:rFonts w:cs="David" w:hint="cs"/>
          <w:rtl/>
        </w:rPr>
        <w:t xml:space="preserve">  </w:t>
      </w:r>
      <w:r w:rsidR="00C2477F">
        <w:rPr>
          <w:rFonts w:cs="David" w:hint="cs"/>
          <w:rtl/>
        </w:rPr>
        <w:t xml:space="preserve">  </w:t>
      </w:r>
      <w:r w:rsidR="0095623F">
        <w:rPr>
          <w:rFonts w:cs="David" w:hint="cs"/>
          <w:rtl/>
        </w:rPr>
        <w:t xml:space="preserve"> </w:t>
      </w:r>
      <w:proofErr w:type="spellStart"/>
      <w:r w:rsidR="00BE615E" w:rsidRPr="0095623F">
        <w:rPr>
          <w:rFonts w:cs="David" w:hint="cs"/>
          <w:rtl/>
        </w:rPr>
        <w:t>גלנר</w:t>
      </w:r>
      <w:proofErr w:type="spellEnd"/>
      <w:r w:rsidR="00BE615E" w:rsidRPr="0095623F">
        <w:rPr>
          <w:rFonts w:cs="David" w:hint="cs"/>
          <w:rtl/>
        </w:rPr>
        <w:t>, א</w:t>
      </w:r>
      <w:r w:rsidR="00C2477F">
        <w:rPr>
          <w:rFonts w:cs="David" w:hint="cs"/>
          <w:rtl/>
        </w:rPr>
        <w:t xml:space="preserve">.( </w:t>
      </w:r>
      <w:r w:rsidR="00C2477F" w:rsidRPr="00312DFC">
        <w:rPr>
          <w:rFonts w:cs="David" w:hint="cs"/>
          <w:rtl/>
        </w:rPr>
        <w:t>1994)</w:t>
      </w:r>
      <w:r w:rsidR="00312DFC" w:rsidRPr="00312DFC">
        <w:rPr>
          <w:rFonts w:cs="David" w:hint="cs"/>
          <w:i/>
          <w:iCs/>
          <w:rtl/>
        </w:rPr>
        <w:t xml:space="preserve">. </w:t>
      </w:r>
      <w:r w:rsidR="00BE615E" w:rsidRPr="00312DFC">
        <w:rPr>
          <w:rFonts w:cs="David" w:hint="cs"/>
          <w:i/>
          <w:iCs/>
          <w:rtl/>
        </w:rPr>
        <w:t>לאומים ולאומיות</w:t>
      </w:r>
      <w:r w:rsidR="00312DFC">
        <w:rPr>
          <w:rFonts w:cs="David" w:hint="cs"/>
          <w:rtl/>
        </w:rPr>
        <w:t>.</w:t>
      </w:r>
      <w:r w:rsidR="005473C3">
        <w:rPr>
          <w:rFonts w:cs="David" w:hint="cs"/>
          <w:rtl/>
        </w:rPr>
        <w:t xml:space="preserve"> </w:t>
      </w:r>
      <w:r w:rsidR="003E54F8">
        <w:rPr>
          <w:rFonts w:cs="David" w:hint="cs"/>
          <w:rtl/>
        </w:rPr>
        <w:t>(</w:t>
      </w:r>
      <w:r w:rsidR="003E54F8">
        <w:rPr>
          <w:rFonts w:cs="David"/>
          <w:rtl/>
        </w:rPr>
        <w:t xml:space="preserve"> ע"</w:t>
      </w:r>
      <w:r w:rsidR="003E54F8">
        <w:rPr>
          <w:rFonts w:cs="David" w:hint="cs"/>
          <w:rtl/>
        </w:rPr>
        <w:t>מ</w:t>
      </w:r>
      <w:r w:rsidR="003E54F8" w:rsidRPr="003E54F8">
        <w:rPr>
          <w:rFonts w:cs="David"/>
          <w:rtl/>
        </w:rPr>
        <w:t xml:space="preserve"> 15-21, 62-78</w:t>
      </w:r>
      <w:r w:rsidR="003E54F8">
        <w:rPr>
          <w:rFonts w:cs="David" w:hint="cs"/>
          <w:rtl/>
        </w:rPr>
        <w:t xml:space="preserve">). </w:t>
      </w:r>
      <w:r w:rsidR="005473C3">
        <w:rPr>
          <w:rFonts w:cs="David" w:hint="cs"/>
          <w:rtl/>
        </w:rPr>
        <w:t>רמת אביב: האוניברסיטה הפתוחה</w:t>
      </w:r>
    </w:p>
    <w:p w:rsidR="003E54F8" w:rsidRDefault="008D2F38" w:rsidP="007C1431">
      <w:pPr>
        <w:bidi w:val="0"/>
        <w:spacing w:line="360" w:lineRule="auto"/>
        <w:rPr>
          <w:rFonts w:cs="David"/>
        </w:rPr>
      </w:pPr>
      <w:proofErr w:type="spellStart"/>
      <w:r w:rsidRPr="0095623F">
        <w:rPr>
          <w:rFonts w:cs="David"/>
        </w:rPr>
        <w:t>Hourani</w:t>
      </w:r>
      <w:proofErr w:type="spellEnd"/>
      <w:r w:rsidRPr="0095623F">
        <w:rPr>
          <w:rFonts w:cs="David"/>
        </w:rPr>
        <w:t xml:space="preserve">, A. (1983). </w:t>
      </w:r>
      <w:r w:rsidRPr="0095623F">
        <w:rPr>
          <w:rFonts w:cs="David"/>
          <w:i/>
          <w:iCs/>
        </w:rPr>
        <w:t>Arabic Thought in the Liberal Age</w:t>
      </w:r>
      <w:r w:rsidR="00312DFC">
        <w:rPr>
          <w:rFonts w:cs="David"/>
          <w:i/>
          <w:iCs/>
        </w:rPr>
        <w:t xml:space="preserve"> </w:t>
      </w:r>
      <w:r w:rsidR="003E54F8">
        <w:rPr>
          <w:rFonts w:cs="David"/>
        </w:rPr>
        <w:t xml:space="preserve">(Pp. 1-25). </w:t>
      </w:r>
      <w:r w:rsidR="00312DFC">
        <w:rPr>
          <w:rFonts w:cs="David"/>
        </w:rPr>
        <w:t xml:space="preserve">Cambridge: </w:t>
      </w:r>
      <w:r w:rsidR="003E54F8">
        <w:rPr>
          <w:rFonts w:cs="David"/>
        </w:rPr>
        <w:t xml:space="preserve"> </w:t>
      </w:r>
    </w:p>
    <w:p w:rsidR="008D2F38" w:rsidRPr="0095623F" w:rsidRDefault="003E54F8" w:rsidP="007C1431">
      <w:pPr>
        <w:bidi w:val="0"/>
        <w:spacing w:line="360" w:lineRule="auto"/>
        <w:rPr>
          <w:rFonts w:cs="David"/>
        </w:rPr>
      </w:pPr>
      <w:r>
        <w:rPr>
          <w:rFonts w:cs="David"/>
        </w:rPr>
        <w:t xml:space="preserve">    </w:t>
      </w:r>
      <w:proofErr w:type="gramStart"/>
      <w:r w:rsidR="00312DFC">
        <w:rPr>
          <w:rFonts w:cs="David"/>
        </w:rPr>
        <w:t xml:space="preserve">Cambridge </w:t>
      </w:r>
      <w:r>
        <w:rPr>
          <w:rFonts w:cs="David"/>
        </w:rPr>
        <w:t>U</w:t>
      </w:r>
      <w:r w:rsidR="00312DFC">
        <w:rPr>
          <w:rFonts w:cs="David"/>
        </w:rPr>
        <w:t>niversity Press.</w:t>
      </w:r>
      <w:proofErr w:type="gramEnd"/>
      <w:r w:rsidR="00312DFC">
        <w:rPr>
          <w:rFonts w:cs="David"/>
        </w:rPr>
        <w:t xml:space="preserve"> </w:t>
      </w:r>
    </w:p>
    <w:p w:rsidR="009F604A" w:rsidRPr="0095623F" w:rsidRDefault="008D2F38" w:rsidP="007C1431">
      <w:pPr>
        <w:spacing w:line="360" w:lineRule="auto"/>
        <w:rPr>
          <w:rFonts w:cs="David"/>
          <w:rtl/>
        </w:rPr>
      </w:pPr>
      <w:r w:rsidRPr="0095623F">
        <w:rPr>
          <w:rFonts w:cs="David" w:hint="cs"/>
          <w:rtl/>
        </w:rPr>
        <w:t xml:space="preserve">2. </w:t>
      </w:r>
      <w:r w:rsidR="009F604A" w:rsidRPr="0095623F">
        <w:rPr>
          <w:rFonts w:cs="David" w:hint="cs"/>
          <w:rtl/>
        </w:rPr>
        <w:t>מלחמה ויחסים בין לאומיים על פי התפישה האסלאמית</w:t>
      </w:r>
    </w:p>
    <w:p w:rsidR="003E54F8" w:rsidRDefault="00C2477F" w:rsidP="007C1431">
      <w:pPr>
        <w:spacing w:line="360" w:lineRule="auto"/>
        <w:jc w:val="both"/>
        <w:rPr>
          <w:rFonts w:cs="David"/>
          <w:rtl/>
        </w:rPr>
      </w:pPr>
      <w:r>
        <w:rPr>
          <w:rFonts w:cs="David"/>
        </w:rPr>
        <w:t xml:space="preserve">    </w:t>
      </w:r>
      <w:r w:rsidR="00E6516E" w:rsidRPr="0095623F">
        <w:rPr>
          <w:rFonts w:cs="David" w:hint="cs"/>
          <w:rtl/>
        </w:rPr>
        <w:t>רייטר, י</w:t>
      </w:r>
      <w:r w:rsidR="00312DFC">
        <w:rPr>
          <w:rFonts w:cs="David" w:hint="cs"/>
          <w:rtl/>
        </w:rPr>
        <w:t>.</w:t>
      </w:r>
      <w:r w:rsidR="00E6516E" w:rsidRPr="0095623F">
        <w:rPr>
          <w:rFonts w:cs="David" w:hint="cs"/>
          <w:rtl/>
        </w:rPr>
        <w:t xml:space="preserve"> (עורך)</w:t>
      </w:r>
      <w:r w:rsidR="00312DFC">
        <w:rPr>
          <w:rFonts w:cs="David" w:hint="cs"/>
          <w:rtl/>
        </w:rPr>
        <w:t xml:space="preserve"> (2008)</w:t>
      </w:r>
      <w:r w:rsidR="005473C3">
        <w:rPr>
          <w:rFonts w:cs="David" w:hint="cs"/>
          <w:rtl/>
        </w:rPr>
        <w:t>.</w:t>
      </w:r>
      <w:r w:rsidR="00E6516E" w:rsidRPr="0095623F">
        <w:rPr>
          <w:rFonts w:cs="David" w:hint="cs"/>
          <w:rtl/>
        </w:rPr>
        <w:t xml:space="preserve"> </w:t>
      </w:r>
      <w:r w:rsidR="00E6516E" w:rsidRPr="005473C3">
        <w:rPr>
          <w:rFonts w:cs="David" w:hint="cs"/>
          <w:i/>
          <w:iCs/>
          <w:rtl/>
        </w:rPr>
        <w:t>מלחמה ושלום ויחסים בינלאומיים באסלאם בן זמננו</w:t>
      </w:r>
      <w:r w:rsidR="005473C3">
        <w:rPr>
          <w:rFonts w:cs="David" w:hint="cs"/>
          <w:rtl/>
        </w:rPr>
        <w:t>.</w:t>
      </w:r>
      <w:r w:rsidR="003E54F8">
        <w:rPr>
          <w:rFonts w:cs="David" w:hint="cs"/>
          <w:rtl/>
        </w:rPr>
        <w:t>(</w:t>
      </w:r>
      <w:r w:rsidR="003E54F8" w:rsidRPr="003E54F8">
        <w:rPr>
          <w:rtl/>
        </w:rPr>
        <w:t xml:space="preserve"> </w:t>
      </w:r>
      <w:r w:rsidR="003E54F8" w:rsidRPr="003E54F8">
        <w:rPr>
          <w:rFonts w:cs="David"/>
          <w:rtl/>
        </w:rPr>
        <w:t>ע"ע 29-58</w:t>
      </w:r>
      <w:r w:rsidR="003E54F8">
        <w:rPr>
          <w:rFonts w:cs="David" w:hint="cs"/>
          <w:rtl/>
        </w:rPr>
        <w:t xml:space="preserve">).  </w:t>
      </w:r>
    </w:p>
    <w:p w:rsidR="008D2F38" w:rsidRPr="0095623F" w:rsidRDefault="003E54F8" w:rsidP="007C1431">
      <w:pPr>
        <w:spacing w:line="360" w:lineRule="auto"/>
        <w:jc w:val="both"/>
        <w:rPr>
          <w:rFonts w:cs="David"/>
        </w:rPr>
      </w:pPr>
      <w:r>
        <w:rPr>
          <w:rFonts w:cs="David" w:hint="cs"/>
          <w:rtl/>
        </w:rPr>
        <w:t xml:space="preserve">    ירושלים: מכון</w:t>
      </w:r>
      <w:r w:rsidR="005473C3">
        <w:rPr>
          <w:rFonts w:cs="David" w:hint="cs"/>
          <w:rtl/>
        </w:rPr>
        <w:t xml:space="preserve"> ירושלים לחקר ישר</w:t>
      </w:r>
      <w:r>
        <w:rPr>
          <w:rFonts w:cs="David" w:hint="cs"/>
          <w:rtl/>
        </w:rPr>
        <w:t>אל</w:t>
      </w:r>
      <w:r w:rsidR="005473C3">
        <w:rPr>
          <w:rFonts w:cs="David"/>
        </w:rPr>
        <w:t>.</w:t>
      </w:r>
      <w:r w:rsidR="00E6516E" w:rsidRPr="0095623F">
        <w:rPr>
          <w:rFonts w:cs="David"/>
        </w:rPr>
        <w:tab/>
      </w:r>
    </w:p>
    <w:p w:rsidR="00E6516E" w:rsidRPr="0095623F" w:rsidRDefault="00E6516E" w:rsidP="007C1431">
      <w:pPr>
        <w:spacing w:line="360" w:lineRule="auto"/>
        <w:rPr>
          <w:rFonts w:cs="David"/>
          <w:rtl/>
        </w:rPr>
      </w:pPr>
    </w:p>
    <w:p w:rsidR="008D2F38" w:rsidRPr="0095623F" w:rsidRDefault="008D2F38" w:rsidP="007C1431">
      <w:pPr>
        <w:spacing w:line="360" w:lineRule="auto"/>
        <w:rPr>
          <w:rFonts w:cs="David"/>
          <w:rtl/>
        </w:rPr>
      </w:pPr>
      <w:r w:rsidRPr="0095623F">
        <w:rPr>
          <w:rFonts w:cs="David" w:hint="cs"/>
          <w:rtl/>
        </w:rPr>
        <w:t>3. צרפת מגיעה למצריים: המפגש עם המערב המודרני</w:t>
      </w:r>
      <w:r w:rsidR="005473C3">
        <w:rPr>
          <w:rFonts w:cs="David" w:hint="cs"/>
          <w:rtl/>
        </w:rPr>
        <w:t>.</w:t>
      </w:r>
    </w:p>
    <w:p w:rsidR="008D2F38" w:rsidRDefault="005473C3" w:rsidP="007C1431">
      <w:pPr>
        <w:spacing w:line="360" w:lineRule="auto"/>
        <w:rPr>
          <w:rFonts w:cs="David"/>
          <w:rtl/>
        </w:rPr>
      </w:pPr>
      <w:r>
        <w:rPr>
          <w:rFonts w:cs="David" w:hint="cs"/>
          <w:rtl/>
        </w:rPr>
        <w:t xml:space="preserve">   </w:t>
      </w:r>
      <w:r w:rsidR="008D2F38" w:rsidRPr="0095623F">
        <w:rPr>
          <w:rFonts w:cs="David" w:hint="cs"/>
          <w:rtl/>
        </w:rPr>
        <w:t xml:space="preserve"> </w:t>
      </w:r>
      <w:proofErr w:type="spellStart"/>
      <w:r w:rsidR="008D2F38" w:rsidRPr="0095623F">
        <w:rPr>
          <w:rFonts w:cs="David" w:hint="cs"/>
          <w:rtl/>
        </w:rPr>
        <w:t>חוראני</w:t>
      </w:r>
      <w:proofErr w:type="spellEnd"/>
      <w:r w:rsidR="008D2F38" w:rsidRPr="0095623F">
        <w:rPr>
          <w:rFonts w:cs="David" w:hint="cs"/>
          <w:rtl/>
        </w:rPr>
        <w:t>, א</w:t>
      </w:r>
      <w:r>
        <w:rPr>
          <w:rFonts w:cs="David" w:hint="cs"/>
          <w:rtl/>
        </w:rPr>
        <w:t>.</w:t>
      </w:r>
      <w:r w:rsidR="008D2F38" w:rsidRPr="0095623F">
        <w:rPr>
          <w:rFonts w:cs="David" w:hint="cs"/>
          <w:rtl/>
        </w:rPr>
        <w:t xml:space="preserve"> (1991)</w:t>
      </w:r>
      <w:r>
        <w:rPr>
          <w:rFonts w:cs="David" w:hint="cs"/>
          <w:rtl/>
        </w:rPr>
        <w:t>.</w:t>
      </w:r>
      <w:r w:rsidR="008D2F38" w:rsidRPr="0095623F">
        <w:rPr>
          <w:rFonts w:cs="David" w:hint="cs"/>
          <w:rtl/>
        </w:rPr>
        <w:t xml:space="preserve"> </w:t>
      </w:r>
      <w:r w:rsidR="008D2F38" w:rsidRPr="005473C3">
        <w:rPr>
          <w:rFonts w:cs="David" w:hint="cs"/>
          <w:i/>
          <w:iCs/>
          <w:rtl/>
        </w:rPr>
        <w:t>היסטוריה של העמים הערביים</w:t>
      </w:r>
      <w:r>
        <w:rPr>
          <w:rFonts w:cs="David" w:hint="cs"/>
          <w:rtl/>
        </w:rPr>
        <w:t>.</w:t>
      </w:r>
      <w:r w:rsidR="008D2F38" w:rsidRPr="0095623F">
        <w:rPr>
          <w:rFonts w:cs="David" w:hint="cs"/>
          <w:rtl/>
        </w:rPr>
        <w:t xml:space="preserve"> </w:t>
      </w:r>
      <w:r>
        <w:rPr>
          <w:rFonts w:cs="David" w:hint="cs"/>
          <w:rtl/>
        </w:rPr>
        <w:t xml:space="preserve">תל אביב: הוצאת דביר. </w:t>
      </w:r>
      <w:r w:rsidR="008D2F38" w:rsidRPr="0095623F">
        <w:rPr>
          <w:rFonts w:cs="David" w:hint="cs"/>
          <w:rtl/>
        </w:rPr>
        <w:t xml:space="preserve">ע"ע 308-  317 </w:t>
      </w:r>
      <w:r w:rsidR="00496E29">
        <w:rPr>
          <w:rFonts w:cs="David" w:hint="cs"/>
          <w:rtl/>
        </w:rPr>
        <w:t>.</w:t>
      </w:r>
      <w:r w:rsidR="008D2F38" w:rsidRPr="0095623F">
        <w:rPr>
          <w:rFonts w:cs="David" w:hint="cs"/>
          <w:rtl/>
        </w:rPr>
        <w:t xml:space="preserve"> </w:t>
      </w:r>
    </w:p>
    <w:p w:rsidR="003E54F8" w:rsidRDefault="003E54F8" w:rsidP="007C1431">
      <w:pPr>
        <w:spacing w:line="360" w:lineRule="auto"/>
        <w:rPr>
          <w:rFonts w:cs="David"/>
          <w:rtl/>
        </w:rPr>
      </w:pPr>
    </w:p>
    <w:p w:rsidR="003E54F8" w:rsidRPr="0095623F" w:rsidRDefault="003E54F8" w:rsidP="005473C3">
      <w:pPr>
        <w:rPr>
          <w:rFonts w:cs="David"/>
          <w:rtl/>
        </w:rPr>
      </w:pPr>
    </w:p>
    <w:p w:rsidR="008D2F38" w:rsidRPr="0095623F" w:rsidRDefault="008D2F38" w:rsidP="008D2F38">
      <w:pPr>
        <w:rPr>
          <w:rFonts w:cs="David"/>
          <w:rtl/>
        </w:rPr>
      </w:pPr>
      <w:r w:rsidRPr="0095623F">
        <w:rPr>
          <w:rFonts w:cs="David" w:hint="cs"/>
          <w:rtl/>
        </w:rPr>
        <w:tab/>
      </w:r>
    </w:p>
    <w:p w:rsidR="008D2F38" w:rsidRPr="0095623F" w:rsidRDefault="008D2F38" w:rsidP="008D2F38">
      <w:pPr>
        <w:rPr>
          <w:rFonts w:cs="David"/>
          <w:rtl/>
        </w:rPr>
      </w:pPr>
      <w:r w:rsidRPr="0095623F">
        <w:rPr>
          <w:rFonts w:cs="David" w:hint="cs"/>
          <w:rtl/>
        </w:rPr>
        <w:t xml:space="preserve">4. </w:t>
      </w:r>
      <w:r w:rsidRPr="0095623F">
        <w:rPr>
          <w:rFonts w:cs="David"/>
          <w:rtl/>
        </w:rPr>
        <w:t>גלובליזציה</w:t>
      </w:r>
      <w:r w:rsidRPr="0095623F">
        <w:rPr>
          <w:rFonts w:cs="David" w:hint="cs"/>
          <w:rtl/>
        </w:rPr>
        <w:t xml:space="preserve"> לעומת התמערבות</w:t>
      </w:r>
    </w:p>
    <w:p w:rsidR="008D2F38" w:rsidRPr="0095623F" w:rsidRDefault="008D2F38" w:rsidP="008D2F38">
      <w:pPr>
        <w:rPr>
          <w:rFonts w:cs="David"/>
          <w:rtl/>
        </w:rPr>
      </w:pPr>
    </w:p>
    <w:p w:rsidR="003E54F8" w:rsidRDefault="00496E29" w:rsidP="007C1431">
      <w:pPr>
        <w:bidi w:val="0"/>
        <w:spacing w:line="360" w:lineRule="auto"/>
        <w:rPr>
          <w:rFonts w:cs="David"/>
        </w:rPr>
      </w:pPr>
      <w:r>
        <w:rPr>
          <w:rFonts w:cs="David"/>
        </w:rPr>
        <w:t>Lewis, B. (1982,</w:t>
      </w:r>
      <w:r w:rsidR="008D2F38" w:rsidRPr="0095623F">
        <w:rPr>
          <w:rFonts w:cs="David"/>
        </w:rPr>
        <w:t xml:space="preserve"> 2001) </w:t>
      </w:r>
      <w:r w:rsidR="008D2F38" w:rsidRPr="0095623F">
        <w:rPr>
          <w:rFonts w:cs="David"/>
          <w:i/>
          <w:iCs/>
        </w:rPr>
        <w:t>The Muslim Discovery Of Europe</w:t>
      </w:r>
      <w:proofErr w:type="gramStart"/>
      <w:r w:rsidR="003E54F8">
        <w:rPr>
          <w:rFonts w:cs="David"/>
          <w:i/>
          <w:iCs/>
        </w:rPr>
        <w:t>.</w:t>
      </w:r>
      <w:r w:rsidR="003E54F8">
        <w:rPr>
          <w:rFonts w:cs="David"/>
        </w:rPr>
        <w:t>(</w:t>
      </w:r>
      <w:proofErr w:type="gramEnd"/>
      <w:r w:rsidR="003E54F8" w:rsidRPr="003E54F8">
        <w:t xml:space="preserve"> </w:t>
      </w:r>
      <w:r w:rsidR="003E54F8" w:rsidRPr="003E54F8">
        <w:rPr>
          <w:rFonts w:cs="David"/>
          <w:i/>
          <w:iCs/>
        </w:rPr>
        <w:t>Pp.17-59</w:t>
      </w:r>
      <w:r w:rsidR="003E54F8">
        <w:rPr>
          <w:rFonts w:cs="David"/>
          <w:i/>
          <w:iCs/>
        </w:rPr>
        <w:t xml:space="preserve">) </w:t>
      </w:r>
      <w:r>
        <w:rPr>
          <w:rFonts w:cs="David"/>
          <w:i/>
          <w:iCs/>
        </w:rPr>
        <w:t>.</w:t>
      </w:r>
      <w:r>
        <w:rPr>
          <w:rFonts w:cs="David"/>
        </w:rPr>
        <w:t xml:space="preserve">New York: </w:t>
      </w:r>
      <w:r w:rsidR="003E54F8">
        <w:rPr>
          <w:rFonts w:cs="David"/>
        </w:rPr>
        <w:t xml:space="preserve"> </w:t>
      </w:r>
    </w:p>
    <w:p w:rsidR="008D2F38" w:rsidRPr="0095623F" w:rsidRDefault="003E54F8" w:rsidP="007C1431">
      <w:pPr>
        <w:bidi w:val="0"/>
        <w:spacing w:line="360" w:lineRule="auto"/>
        <w:rPr>
          <w:rFonts w:cs="David"/>
          <w:i/>
          <w:iCs/>
        </w:rPr>
      </w:pPr>
      <w:r>
        <w:rPr>
          <w:rFonts w:cs="David"/>
        </w:rPr>
        <w:t xml:space="preserve">    </w:t>
      </w:r>
      <w:r w:rsidR="00496E29">
        <w:rPr>
          <w:rFonts w:cs="David"/>
        </w:rPr>
        <w:t>Norton &amp; Co.</w:t>
      </w:r>
      <w:r w:rsidR="008D2F38" w:rsidRPr="0095623F">
        <w:rPr>
          <w:rFonts w:cs="David"/>
          <w:i/>
          <w:iCs/>
        </w:rPr>
        <w:t xml:space="preserve"> </w:t>
      </w:r>
      <w:r w:rsidR="00496E29">
        <w:rPr>
          <w:rFonts w:cs="David"/>
          <w:i/>
          <w:iCs/>
        </w:rPr>
        <w:t xml:space="preserve">    </w:t>
      </w:r>
      <w:r w:rsidR="00496E29">
        <w:rPr>
          <w:rFonts w:cs="David"/>
        </w:rPr>
        <w:t xml:space="preserve"> </w:t>
      </w:r>
      <w:r w:rsidR="00496E29">
        <w:rPr>
          <w:rFonts w:cs="David"/>
          <w:i/>
          <w:iCs/>
        </w:rPr>
        <w:t>.</w:t>
      </w:r>
    </w:p>
    <w:p w:rsidR="008D2F38" w:rsidRPr="0095623F" w:rsidRDefault="00496E29" w:rsidP="007C1431">
      <w:pPr>
        <w:bidi w:val="0"/>
        <w:spacing w:line="360" w:lineRule="auto"/>
        <w:rPr>
          <w:rFonts w:cs="David"/>
          <w:i/>
          <w:iCs/>
        </w:rPr>
      </w:pPr>
      <w:proofErr w:type="gramStart"/>
      <w:r>
        <w:rPr>
          <w:rFonts w:cs="David"/>
        </w:rPr>
        <w:t xml:space="preserve">Beck, U. </w:t>
      </w:r>
      <w:r w:rsidR="008D2F38" w:rsidRPr="0095623F">
        <w:rPr>
          <w:rFonts w:cs="David"/>
        </w:rPr>
        <w:t>(2000)</w:t>
      </w:r>
      <w:r>
        <w:rPr>
          <w:rFonts w:cs="David"/>
        </w:rPr>
        <w:t>.</w:t>
      </w:r>
      <w:proofErr w:type="gramEnd"/>
      <w:r w:rsidR="008D2F38" w:rsidRPr="0095623F">
        <w:rPr>
          <w:rFonts w:cs="David"/>
        </w:rPr>
        <w:t xml:space="preserve"> </w:t>
      </w:r>
      <w:r w:rsidR="008D2F38" w:rsidRPr="0095623F">
        <w:rPr>
          <w:rFonts w:cs="David"/>
          <w:i/>
          <w:iCs/>
        </w:rPr>
        <w:t xml:space="preserve">What is </w:t>
      </w:r>
      <w:proofErr w:type="gramStart"/>
      <w:r w:rsidR="008D2F38" w:rsidRPr="0095623F">
        <w:rPr>
          <w:rFonts w:cs="David"/>
          <w:i/>
          <w:iCs/>
        </w:rPr>
        <w:t xml:space="preserve">Globalization </w:t>
      </w:r>
      <w:r>
        <w:rPr>
          <w:rFonts w:cs="David"/>
          <w:i/>
          <w:iCs/>
        </w:rPr>
        <w:t>.</w:t>
      </w:r>
      <w:r w:rsidR="003E54F8">
        <w:rPr>
          <w:rFonts w:cs="David"/>
        </w:rPr>
        <w:t>(</w:t>
      </w:r>
      <w:proofErr w:type="gramEnd"/>
      <w:r w:rsidR="003E54F8" w:rsidRPr="003E54F8">
        <w:t xml:space="preserve"> </w:t>
      </w:r>
      <w:r w:rsidR="003E54F8" w:rsidRPr="003E54F8">
        <w:rPr>
          <w:rFonts w:cs="David"/>
        </w:rPr>
        <w:t>Pp.1-13</w:t>
      </w:r>
      <w:r w:rsidR="003E54F8">
        <w:rPr>
          <w:rFonts w:cs="David"/>
        </w:rPr>
        <w:t>).</w:t>
      </w:r>
      <w:r>
        <w:rPr>
          <w:rFonts w:cs="David"/>
        </w:rPr>
        <w:t xml:space="preserve">Cambridge: Polity. </w:t>
      </w:r>
    </w:p>
    <w:p w:rsidR="007C1431" w:rsidRDefault="00496E29" w:rsidP="007C1431">
      <w:pPr>
        <w:bidi w:val="0"/>
        <w:spacing w:line="360" w:lineRule="auto"/>
        <w:rPr>
          <w:rFonts w:cs="David"/>
        </w:rPr>
      </w:pPr>
      <w:r>
        <w:rPr>
          <w:rFonts w:cs="David"/>
        </w:rPr>
        <w:t>King, A</w:t>
      </w:r>
      <w:proofErr w:type="gramStart"/>
      <w:r>
        <w:rPr>
          <w:rFonts w:cs="David"/>
        </w:rPr>
        <w:t>.</w:t>
      </w:r>
      <w:r w:rsidR="008D2F38" w:rsidRPr="0095623F">
        <w:rPr>
          <w:rFonts w:cs="David"/>
        </w:rPr>
        <w:t>(</w:t>
      </w:r>
      <w:proofErr w:type="gramEnd"/>
      <w:r w:rsidR="008D2F38" w:rsidRPr="0095623F">
        <w:rPr>
          <w:rFonts w:cs="David"/>
        </w:rPr>
        <w:t xml:space="preserve">ed.) (1997). </w:t>
      </w:r>
      <w:r w:rsidR="008D2F38" w:rsidRPr="0095623F">
        <w:rPr>
          <w:rFonts w:cs="David"/>
          <w:i/>
          <w:iCs/>
        </w:rPr>
        <w:t>Culture, Globalization and the World System</w:t>
      </w:r>
      <w:proofErr w:type="gramStart"/>
      <w:r w:rsidR="003E54F8">
        <w:rPr>
          <w:rFonts w:cs="David"/>
          <w:i/>
          <w:iCs/>
        </w:rPr>
        <w:t>.</w:t>
      </w:r>
      <w:r w:rsidR="003E54F8">
        <w:rPr>
          <w:rFonts w:cs="David"/>
        </w:rPr>
        <w:t>(</w:t>
      </w:r>
      <w:proofErr w:type="gramEnd"/>
      <w:r w:rsidR="003E54F8" w:rsidRPr="003E54F8">
        <w:t xml:space="preserve"> </w:t>
      </w:r>
      <w:r w:rsidR="003E54F8" w:rsidRPr="003E54F8">
        <w:rPr>
          <w:rFonts w:cs="David"/>
        </w:rPr>
        <w:t>Pp. 19-41</w:t>
      </w:r>
      <w:r w:rsidR="007C1431">
        <w:rPr>
          <w:rFonts w:cs="David"/>
        </w:rPr>
        <w:t>).</w:t>
      </w:r>
      <w:r w:rsidR="003E54F8" w:rsidRPr="003E54F8">
        <w:rPr>
          <w:rFonts w:cs="David"/>
        </w:rPr>
        <w:t xml:space="preserve"> </w:t>
      </w:r>
      <w:r w:rsidR="007C1431">
        <w:rPr>
          <w:rFonts w:cs="David"/>
        </w:rPr>
        <w:t xml:space="preserve">  </w:t>
      </w:r>
    </w:p>
    <w:p w:rsidR="008D2F38" w:rsidRPr="0095623F" w:rsidRDefault="007C1431" w:rsidP="007C1431">
      <w:pPr>
        <w:bidi w:val="0"/>
        <w:spacing w:line="360" w:lineRule="auto"/>
        <w:rPr>
          <w:rFonts w:cs="David"/>
          <w:rtl/>
        </w:rPr>
      </w:pPr>
      <w:r>
        <w:rPr>
          <w:rFonts w:cs="David"/>
        </w:rPr>
        <w:t xml:space="preserve">    M</w:t>
      </w:r>
      <w:r w:rsidR="00551291">
        <w:rPr>
          <w:rFonts w:cs="David"/>
        </w:rPr>
        <w:t xml:space="preserve">inneapolis: University of Minnesota Press. </w:t>
      </w:r>
    </w:p>
    <w:p w:rsidR="008D2F38" w:rsidRPr="0095623F" w:rsidRDefault="008D2F38" w:rsidP="008D2F38">
      <w:pPr>
        <w:rPr>
          <w:rFonts w:cs="David"/>
          <w:rtl/>
        </w:rPr>
      </w:pPr>
    </w:p>
    <w:p w:rsidR="008D2F38" w:rsidRPr="0095623F" w:rsidRDefault="00262DE9" w:rsidP="007C1431">
      <w:pPr>
        <w:spacing w:line="360" w:lineRule="auto"/>
        <w:rPr>
          <w:rFonts w:cs="David"/>
          <w:rtl/>
        </w:rPr>
      </w:pPr>
      <w:r w:rsidRPr="0095623F">
        <w:rPr>
          <w:rFonts w:cs="David" w:hint="cs"/>
          <w:rtl/>
        </w:rPr>
        <w:t xml:space="preserve">  5. תפישת הגלובליזציה באסלאם</w:t>
      </w:r>
    </w:p>
    <w:p w:rsidR="007C1431" w:rsidRDefault="00551291" w:rsidP="007C1431">
      <w:pPr>
        <w:bidi w:val="0"/>
        <w:spacing w:line="360" w:lineRule="auto"/>
        <w:jc w:val="both"/>
        <w:rPr>
          <w:rFonts w:cs="David"/>
        </w:rPr>
      </w:pPr>
      <w:proofErr w:type="spellStart"/>
      <w:proofErr w:type="gramStart"/>
      <w:r>
        <w:rPr>
          <w:rFonts w:cs="David"/>
        </w:rPr>
        <w:t>Helfo</w:t>
      </w:r>
      <w:r w:rsidR="00192F71" w:rsidRPr="0095623F">
        <w:rPr>
          <w:rFonts w:cs="David"/>
        </w:rPr>
        <w:t>nt</w:t>
      </w:r>
      <w:proofErr w:type="spellEnd"/>
      <w:r w:rsidR="00A03D33" w:rsidRPr="0095623F">
        <w:rPr>
          <w:rFonts w:cs="David"/>
        </w:rPr>
        <w:t>, S</w:t>
      </w:r>
      <w:r>
        <w:rPr>
          <w:rFonts w:cs="David"/>
        </w:rPr>
        <w:t>. (2009).</w:t>
      </w:r>
      <w:proofErr w:type="gramEnd"/>
      <w:r w:rsidR="00A03D33" w:rsidRPr="0095623F">
        <w:rPr>
          <w:rFonts w:cs="David"/>
        </w:rPr>
        <w:t xml:space="preserve"> </w:t>
      </w:r>
      <w:r w:rsidR="00A03D33" w:rsidRPr="00551291">
        <w:rPr>
          <w:rFonts w:cs="David"/>
          <w:i/>
          <w:iCs/>
        </w:rPr>
        <w:t>Yusuf al- Qaradawi: Islam and Modernity</w:t>
      </w:r>
      <w:proofErr w:type="gramStart"/>
      <w:r>
        <w:rPr>
          <w:rFonts w:cs="David"/>
        </w:rPr>
        <w:t>.</w:t>
      </w:r>
      <w:r w:rsidR="007C1431">
        <w:rPr>
          <w:rFonts w:cs="David"/>
        </w:rPr>
        <w:t>(</w:t>
      </w:r>
      <w:proofErr w:type="gramEnd"/>
      <w:r w:rsidR="007C1431" w:rsidRPr="007C1431">
        <w:t xml:space="preserve"> </w:t>
      </w:r>
      <w:r w:rsidR="007C1431" w:rsidRPr="007C1431">
        <w:rPr>
          <w:rFonts w:cs="David"/>
        </w:rPr>
        <w:t>Pp. 41-59</w:t>
      </w:r>
      <w:r w:rsidR="007C1431">
        <w:rPr>
          <w:rFonts w:cs="David"/>
        </w:rPr>
        <w:t>).</w:t>
      </w:r>
      <w:r w:rsidR="007C1431" w:rsidRPr="007C1431">
        <w:rPr>
          <w:rFonts w:cs="David"/>
        </w:rPr>
        <w:tab/>
      </w:r>
      <w:r w:rsidR="007C1431">
        <w:rPr>
          <w:rFonts w:cs="David"/>
        </w:rPr>
        <w:t xml:space="preserve"> Tel Aviv:  </w:t>
      </w:r>
    </w:p>
    <w:p w:rsidR="008D2F38" w:rsidRPr="0095623F" w:rsidRDefault="007C1431" w:rsidP="007C1431">
      <w:pPr>
        <w:bidi w:val="0"/>
        <w:spacing w:line="360" w:lineRule="auto"/>
        <w:jc w:val="both"/>
        <w:rPr>
          <w:rFonts w:cs="David"/>
          <w:i/>
          <w:iCs/>
        </w:rPr>
      </w:pPr>
      <w:r>
        <w:rPr>
          <w:rFonts w:cs="David"/>
        </w:rPr>
        <w:t xml:space="preserve">    </w:t>
      </w:r>
      <w:proofErr w:type="gramStart"/>
      <w:r>
        <w:rPr>
          <w:rFonts w:cs="David"/>
        </w:rPr>
        <w:t xml:space="preserve">Tel Aviv </w:t>
      </w:r>
      <w:r w:rsidR="00551291">
        <w:rPr>
          <w:rFonts w:cs="David"/>
        </w:rPr>
        <w:t>University Press.</w:t>
      </w:r>
      <w:proofErr w:type="gramEnd"/>
      <w:r w:rsidR="008D2F38" w:rsidRPr="0095623F">
        <w:rPr>
          <w:rFonts w:cs="David" w:hint="cs"/>
          <w:i/>
          <w:iCs/>
          <w:rtl/>
        </w:rPr>
        <w:tab/>
      </w:r>
      <w:r w:rsidR="008D2F38" w:rsidRPr="0095623F">
        <w:rPr>
          <w:rFonts w:cs="David" w:hint="cs"/>
          <w:i/>
          <w:iCs/>
          <w:rtl/>
        </w:rPr>
        <w:tab/>
      </w:r>
    </w:p>
    <w:p w:rsidR="00551291" w:rsidRDefault="00551291" w:rsidP="007C1431">
      <w:pPr>
        <w:bidi w:val="0"/>
        <w:spacing w:line="360" w:lineRule="auto"/>
        <w:rPr>
          <w:rFonts w:cs="David"/>
          <w:i/>
          <w:iCs/>
        </w:rPr>
      </w:pPr>
      <w:proofErr w:type="spellStart"/>
      <w:r>
        <w:rPr>
          <w:rFonts w:cs="David"/>
        </w:rPr>
        <w:t>Sa</w:t>
      </w:r>
      <w:r w:rsidR="008D2F38" w:rsidRPr="0095623F">
        <w:rPr>
          <w:rFonts w:cs="David"/>
        </w:rPr>
        <w:t>lame</w:t>
      </w:r>
      <w:proofErr w:type="spellEnd"/>
      <w:r w:rsidR="008D2F38" w:rsidRPr="0095623F">
        <w:rPr>
          <w:rFonts w:cs="David"/>
        </w:rPr>
        <w:t>, G.</w:t>
      </w:r>
      <w:r>
        <w:rPr>
          <w:rFonts w:cs="David"/>
        </w:rPr>
        <w:t xml:space="preserve"> </w:t>
      </w:r>
      <w:r w:rsidR="008D2F38" w:rsidRPr="0095623F">
        <w:rPr>
          <w:rFonts w:cs="David"/>
        </w:rPr>
        <w:t>(</w:t>
      </w:r>
      <w:proofErr w:type="gramStart"/>
      <w:r w:rsidR="008D2F38" w:rsidRPr="0095623F">
        <w:rPr>
          <w:rFonts w:cs="David"/>
        </w:rPr>
        <w:t>ed</w:t>
      </w:r>
      <w:proofErr w:type="gramEnd"/>
      <w:r>
        <w:rPr>
          <w:rFonts w:cs="David"/>
        </w:rPr>
        <w:t>.</w:t>
      </w:r>
      <w:r w:rsidR="008D2F38" w:rsidRPr="0095623F">
        <w:rPr>
          <w:rFonts w:cs="David"/>
        </w:rPr>
        <w:t>)</w:t>
      </w:r>
      <w:r>
        <w:rPr>
          <w:rFonts w:cs="David"/>
        </w:rPr>
        <w:t>.</w:t>
      </w:r>
      <w:r w:rsidR="008D2F38" w:rsidRPr="0095623F">
        <w:rPr>
          <w:rFonts w:cs="David"/>
        </w:rPr>
        <w:t xml:space="preserve"> (1994) </w:t>
      </w:r>
      <w:r w:rsidR="008D2F38" w:rsidRPr="0095623F">
        <w:rPr>
          <w:rFonts w:cs="David"/>
          <w:i/>
          <w:iCs/>
        </w:rPr>
        <w:t xml:space="preserve">Democracy Without Democrats. The Renewal of Politics </w:t>
      </w:r>
      <w:r>
        <w:rPr>
          <w:rFonts w:cs="David"/>
          <w:i/>
          <w:iCs/>
        </w:rPr>
        <w:t>i</w:t>
      </w:r>
      <w:r w:rsidR="008D2F38" w:rsidRPr="0095623F">
        <w:rPr>
          <w:rFonts w:cs="David"/>
          <w:i/>
          <w:iCs/>
        </w:rPr>
        <w:t xml:space="preserve">n </w:t>
      </w:r>
      <w:r>
        <w:rPr>
          <w:rFonts w:cs="David"/>
          <w:i/>
          <w:iCs/>
        </w:rPr>
        <w:t xml:space="preserve"> </w:t>
      </w:r>
    </w:p>
    <w:p w:rsidR="008D2F38" w:rsidRPr="0095623F" w:rsidRDefault="00551291" w:rsidP="007C1431">
      <w:pPr>
        <w:bidi w:val="0"/>
        <w:spacing w:line="360" w:lineRule="auto"/>
        <w:rPr>
          <w:rFonts w:cs="David"/>
        </w:rPr>
      </w:pPr>
      <w:r>
        <w:rPr>
          <w:rFonts w:cs="David"/>
          <w:i/>
          <w:iCs/>
        </w:rPr>
        <w:t xml:space="preserve">  </w:t>
      </w:r>
      <w:r w:rsidR="007C1431">
        <w:rPr>
          <w:rFonts w:cs="David"/>
          <w:i/>
          <w:iCs/>
        </w:rPr>
        <w:t xml:space="preserve"> </w:t>
      </w:r>
      <w:r>
        <w:rPr>
          <w:rFonts w:cs="David"/>
          <w:i/>
          <w:iCs/>
        </w:rPr>
        <w:t xml:space="preserve"> </w:t>
      </w:r>
      <w:proofErr w:type="gramStart"/>
      <w:r w:rsidR="008D2F38" w:rsidRPr="0095623F">
        <w:rPr>
          <w:rFonts w:cs="David"/>
          <w:i/>
          <w:iCs/>
        </w:rPr>
        <w:t>the</w:t>
      </w:r>
      <w:proofErr w:type="gramEnd"/>
      <w:r w:rsidR="008D2F38" w:rsidRPr="0095623F">
        <w:rPr>
          <w:rFonts w:cs="David"/>
          <w:i/>
          <w:iCs/>
        </w:rPr>
        <w:t xml:space="preserve"> Muslim World.</w:t>
      </w:r>
      <w:r w:rsidR="007C1431">
        <w:rPr>
          <w:rFonts w:cs="David"/>
        </w:rPr>
        <w:t>(</w:t>
      </w:r>
      <w:r w:rsidR="007C1431" w:rsidRPr="007C1431">
        <w:t xml:space="preserve"> </w:t>
      </w:r>
      <w:r w:rsidR="007C1431" w:rsidRPr="007C1431">
        <w:rPr>
          <w:rFonts w:cs="David"/>
        </w:rPr>
        <w:t xml:space="preserve">Pp. 23-48 </w:t>
      </w:r>
      <w:r w:rsidR="007C1431">
        <w:rPr>
          <w:rFonts w:cs="David"/>
        </w:rPr>
        <w:t>).</w:t>
      </w:r>
      <w:r w:rsidR="001D370D">
        <w:rPr>
          <w:rFonts w:cs="David"/>
        </w:rPr>
        <w:t xml:space="preserve"> London &amp;New York: </w:t>
      </w:r>
      <w:proofErr w:type="spellStart"/>
      <w:r w:rsidR="001D370D">
        <w:rPr>
          <w:rFonts w:cs="David"/>
        </w:rPr>
        <w:t>Tauris</w:t>
      </w:r>
      <w:proofErr w:type="spellEnd"/>
      <w:r w:rsidR="001D370D">
        <w:rPr>
          <w:rFonts w:cs="David"/>
        </w:rPr>
        <w:t>.</w:t>
      </w:r>
      <w:r w:rsidR="008D2F38" w:rsidRPr="0095623F">
        <w:rPr>
          <w:rFonts w:cs="David"/>
        </w:rPr>
        <w:t xml:space="preserve"> </w:t>
      </w:r>
    </w:p>
    <w:p w:rsidR="008D2F38" w:rsidRPr="0095623F" w:rsidRDefault="008D2F38" w:rsidP="008D2F38">
      <w:pPr>
        <w:rPr>
          <w:rFonts w:cs="David"/>
          <w:rtl/>
        </w:rPr>
      </w:pPr>
    </w:p>
    <w:p w:rsidR="008D2F38" w:rsidRPr="0095623F" w:rsidRDefault="008D2F38" w:rsidP="001D370D">
      <w:pPr>
        <w:jc w:val="both"/>
        <w:rPr>
          <w:rFonts w:cs="David"/>
          <w:rtl/>
        </w:rPr>
      </w:pPr>
      <w:r w:rsidRPr="0095623F">
        <w:rPr>
          <w:rFonts w:cs="David"/>
          <w:rtl/>
        </w:rPr>
        <w:t xml:space="preserve"> </w:t>
      </w:r>
      <w:r w:rsidRPr="0095623F">
        <w:rPr>
          <w:rFonts w:cs="David" w:hint="cs"/>
          <w:rtl/>
        </w:rPr>
        <w:t xml:space="preserve"> 6. </w:t>
      </w:r>
      <w:r w:rsidR="00C853EF" w:rsidRPr="0095623F">
        <w:rPr>
          <w:rFonts w:cs="David" w:hint="cs"/>
          <w:rtl/>
        </w:rPr>
        <w:t xml:space="preserve"> דת לאומית מול דת עולמית</w:t>
      </w:r>
    </w:p>
    <w:p w:rsidR="007C1431" w:rsidRDefault="001D370D" w:rsidP="007C1431">
      <w:pPr>
        <w:jc w:val="right"/>
        <w:rPr>
          <w:rFonts w:cs="David"/>
        </w:rPr>
      </w:pPr>
      <w:r>
        <w:rPr>
          <w:rFonts w:cs="David"/>
        </w:rPr>
        <w:t>Roy, O</w:t>
      </w:r>
      <w:proofErr w:type="gramStart"/>
      <w:r>
        <w:rPr>
          <w:rFonts w:cs="David"/>
        </w:rPr>
        <w:t>.</w:t>
      </w:r>
      <w:r w:rsidR="00C853EF" w:rsidRPr="0095623F">
        <w:rPr>
          <w:rFonts w:cs="David"/>
        </w:rPr>
        <w:t>(</w:t>
      </w:r>
      <w:proofErr w:type="gramEnd"/>
      <w:r w:rsidR="00C853EF" w:rsidRPr="0095623F">
        <w:rPr>
          <w:rFonts w:cs="David"/>
        </w:rPr>
        <w:t>2004</w:t>
      </w:r>
      <w:r w:rsidR="00C853EF" w:rsidRPr="001D370D">
        <w:rPr>
          <w:rFonts w:cs="David"/>
          <w:i/>
          <w:iCs/>
        </w:rPr>
        <w:t xml:space="preserve">). </w:t>
      </w:r>
      <w:proofErr w:type="gramStart"/>
      <w:r w:rsidR="00C853EF" w:rsidRPr="001D370D">
        <w:rPr>
          <w:rFonts w:cs="David"/>
          <w:i/>
          <w:iCs/>
        </w:rPr>
        <w:t>Globalized Islam</w:t>
      </w:r>
      <w:r w:rsidR="00C853EF" w:rsidRPr="0095623F">
        <w:rPr>
          <w:rFonts w:cs="David"/>
        </w:rPr>
        <w:t>.</w:t>
      </w:r>
      <w:proofErr w:type="gramEnd"/>
      <w:r w:rsidR="007C1431">
        <w:rPr>
          <w:rFonts w:cs="David"/>
        </w:rPr>
        <w:t xml:space="preserve"> </w:t>
      </w:r>
      <w:proofErr w:type="gramStart"/>
      <w:r w:rsidR="007C1431">
        <w:rPr>
          <w:rFonts w:cs="David"/>
        </w:rPr>
        <w:t>(</w:t>
      </w:r>
      <w:r w:rsidR="007C1431" w:rsidRPr="007C1431">
        <w:rPr>
          <w:rFonts w:cs="David"/>
        </w:rPr>
        <w:t>Pp. 201</w:t>
      </w:r>
      <w:r w:rsidR="007C1431">
        <w:rPr>
          <w:rFonts w:cs="David"/>
        </w:rPr>
        <w:t>-</w:t>
      </w:r>
      <w:r w:rsidR="007C1431" w:rsidRPr="007C1431">
        <w:rPr>
          <w:rFonts w:cs="David"/>
        </w:rPr>
        <w:t xml:space="preserve"> 220</w:t>
      </w:r>
      <w:r w:rsidR="007C1431">
        <w:rPr>
          <w:rFonts w:cs="David"/>
        </w:rPr>
        <w:t>)</w:t>
      </w:r>
      <w:r w:rsidR="007C1431" w:rsidRPr="007C1431">
        <w:rPr>
          <w:rFonts w:cs="David"/>
        </w:rPr>
        <w:t>.</w:t>
      </w:r>
      <w:proofErr w:type="gramEnd"/>
      <w:r w:rsidR="00C853EF" w:rsidRPr="0095623F">
        <w:rPr>
          <w:rFonts w:cs="David"/>
        </w:rPr>
        <w:t xml:space="preserve"> </w:t>
      </w:r>
      <w:r>
        <w:rPr>
          <w:rFonts w:cs="David"/>
        </w:rPr>
        <w:t xml:space="preserve">New York: Columbia University </w:t>
      </w:r>
      <w:r w:rsidR="007C1431">
        <w:rPr>
          <w:rFonts w:cs="David"/>
        </w:rPr>
        <w:t xml:space="preserve">  </w:t>
      </w:r>
    </w:p>
    <w:p w:rsidR="00C853EF" w:rsidRDefault="007C1431" w:rsidP="007C1431">
      <w:pPr>
        <w:jc w:val="right"/>
        <w:rPr>
          <w:rFonts w:cs="David"/>
          <w:rtl/>
        </w:rPr>
      </w:pPr>
      <w:r>
        <w:rPr>
          <w:rFonts w:cs="David"/>
        </w:rPr>
        <w:t xml:space="preserve">   </w:t>
      </w:r>
      <w:proofErr w:type="gramStart"/>
      <w:r w:rsidR="001D370D">
        <w:rPr>
          <w:rFonts w:cs="David"/>
        </w:rPr>
        <w:t>Press.</w:t>
      </w:r>
      <w:proofErr w:type="gramEnd"/>
      <w:r w:rsidR="001D370D">
        <w:rPr>
          <w:rFonts w:cs="David"/>
        </w:rPr>
        <w:t xml:space="preserve"> </w:t>
      </w:r>
      <w:r>
        <w:rPr>
          <w:rFonts w:cs="David"/>
        </w:rPr>
        <w:t xml:space="preserve">  </w:t>
      </w:r>
    </w:p>
    <w:p w:rsidR="007C1431" w:rsidRPr="0095623F" w:rsidRDefault="007C1431" w:rsidP="007C1431">
      <w:pPr>
        <w:jc w:val="right"/>
        <w:rPr>
          <w:rFonts w:cs="David"/>
          <w:rtl/>
        </w:rPr>
      </w:pPr>
    </w:p>
    <w:p w:rsidR="008D2F38" w:rsidRPr="0095623F" w:rsidRDefault="008D2F38" w:rsidP="00582A31">
      <w:pPr>
        <w:spacing w:line="360" w:lineRule="auto"/>
        <w:rPr>
          <w:rFonts w:cs="David"/>
          <w:rtl/>
        </w:rPr>
      </w:pPr>
      <w:r w:rsidRPr="0095623F">
        <w:rPr>
          <w:rFonts w:cs="David" w:hint="cs"/>
          <w:rtl/>
        </w:rPr>
        <w:t xml:space="preserve">  7 . האחים המוסלמים: דת ופוליטיקה</w:t>
      </w:r>
    </w:p>
    <w:p w:rsidR="00582A31" w:rsidRDefault="008D2F38" w:rsidP="00582A31">
      <w:pPr>
        <w:spacing w:line="360" w:lineRule="auto"/>
        <w:jc w:val="right"/>
        <w:rPr>
          <w:rFonts w:cs="David"/>
        </w:rPr>
      </w:pPr>
      <w:r w:rsidRPr="0095623F">
        <w:rPr>
          <w:rFonts w:cs="David" w:hint="cs"/>
          <w:rtl/>
        </w:rPr>
        <w:tab/>
      </w:r>
      <w:r w:rsidRPr="001D370D">
        <w:rPr>
          <w:rFonts w:cs="David"/>
        </w:rPr>
        <w:t>Frye, R</w:t>
      </w:r>
      <w:r w:rsidR="001D370D" w:rsidRPr="001D370D">
        <w:rPr>
          <w:rFonts w:cs="David"/>
        </w:rPr>
        <w:t xml:space="preserve">. </w:t>
      </w:r>
      <w:r w:rsidRPr="001D370D">
        <w:rPr>
          <w:rFonts w:cs="David"/>
        </w:rPr>
        <w:t>(ed</w:t>
      </w:r>
      <w:r w:rsidR="001D370D" w:rsidRPr="001D370D">
        <w:rPr>
          <w:rFonts w:cs="David"/>
        </w:rPr>
        <w:t>.</w:t>
      </w:r>
      <w:proofErr w:type="gramStart"/>
      <w:r w:rsidRPr="001D370D">
        <w:rPr>
          <w:rFonts w:cs="David"/>
        </w:rPr>
        <w:t>)(</w:t>
      </w:r>
      <w:proofErr w:type="gramEnd"/>
      <w:r w:rsidRPr="001D370D">
        <w:rPr>
          <w:rFonts w:cs="David"/>
        </w:rPr>
        <w:t xml:space="preserve">1957). </w:t>
      </w:r>
      <w:r w:rsidRPr="001D370D">
        <w:rPr>
          <w:rFonts w:cs="David"/>
          <w:i/>
          <w:iCs/>
        </w:rPr>
        <w:t>Islam and the West</w:t>
      </w:r>
      <w:proofErr w:type="gramStart"/>
      <w:r w:rsidRPr="001D370D">
        <w:rPr>
          <w:rFonts w:cs="David"/>
          <w:i/>
          <w:iCs/>
        </w:rPr>
        <w:t>.</w:t>
      </w:r>
      <w:r w:rsidR="00582A31">
        <w:rPr>
          <w:rFonts w:cs="David"/>
        </w:rPr>
        <w:t>(</w:t>
      </w:r>
      <w:proofErr w:type="gramEnd"/>
      <w:r w:rsidR="00582A31" w:rsidRPr="00582A31">
        <w:t xml:space="preserve"> </w:t>
      </w:r>
      <w:r w:rsidR="00582A31" w:rsidRPr="00582A31">
        <w:rPr>
          <w:rFonts w:cs="David"/>
        </w:rPr>
        <w:t>Pp. 7-30</w:t>
      </w:r>
      <w:r w:rsidR="00582A31">
        <w:rPr>
          <w:rFonts w:cs="David"/>
        </w:rPr>
        <w:t>).</w:t>
      </w:r>
      <w:r w:rsidR="001D370D" w:rsidRPr="001D370D">
        <w:rPr>
          <w:rFonts w:cs="David"/>
        </w:rPr>
        <w:t xml:space="preserve"> The Hague: Mouton &amp; </w:t>
      </w:r>
      <w:r w:rsidR="00582A31">
        <w:rPr>
          <w:rFonts w:cs="David"/>
        </w:rPr>
        <w:t xml:space="preserve"> </w:t>
      </w:r>
    </w:p>
    <w:p w:rsidR="008D2F38" w:rsidRPr="001D370D" w:rsidRDefault="00582A31" w:rsidP="00582A31">
      <w:pPr>
        <w:spacing w:line="360" w:lineRule="auto"/>
        <w:jc w:val="right"/>
        <w:rPr>
          <w:rFonts w:cs="David"/>
          <w:i/>
          <w:iCs/>
          <w:rtl/>
        </w:rPr>
      </w:pPr>
      <w:r>
        <w:rPr>
          <w:rFonts w:cs="David"/>
        </w:rPr>
        <w:t xml:space="preserve">   </w:t>
      </w:r>
      <w:proofErr w:type="gramStart"/>
      <w:r w:rsidR="001D370D" w:rsidRPr="001D370D">
        <w:rPr>
          <w:rFonts w:cs="David"/>
        </w:rPr>
        <w:t>C</w:t>
      </w:r>
      <w:r>
        <w:rPr>
          <w:rFonts w:cs="David"/>
        </w:rPr>
        <w:t>o.</w:t>
      </w:r>
      <w:proofErr w:type="gramEnd"/>
    </w:p>
    <w:p w:rsidR="00E53818" w:rsidRDefault="00FF00BF" w:rsidP="00582A31">
      <w:pPr>
        <w:spacing w:line="360" w:lineRule="auto"/>
        <w:jc w:val="both"/>
        <w:rPr>
          <w:rFonts w:cs="David"/>
          <w:rtl/>
        </w:rPr>
      </w:pPr>
      <w:r>
        <w:rPr>
          <w:rFonts w:cs="David" w:hint="cs"/>
          <w:rtl/>
        </w:rPr>
        <w:t xml:space="preserve">       </w:t>
      </w:r>
      <w:r w:rsidR="008D2F38" w:rsidRPr="00FF00BF">
        <w:rPr>
          <w:rFonts w:cs="David" w:hint="cs"/>
          <w:rtl/>
        </w:rPr>
        <w:t xml:space="preserve">צורף, מירה (2010), המערב </w:t>
      </w:r>
      <w:r w:rsidR="008D2F38" w:rsidRPr="00FF00BF">
        <w:rPr>
          <w:rFonts w:cs="David"/>
          <w:rtl/>
        </w:rPr>
        <w:t>–</w:t>
      </w:r>
      <w:r w:rsidR="008D2F38" w:rsidRPr="00FF00BF">
        <w:rPr>
          <w:rFonts w:cs="David" w:hint="cs"/>
          <w:rtl/>
        </w:rPr>
        <w:t>מערב, אסלאם-אסלאם</w:t>
      </w:r>
      <w:r>
        <w:rPr>
          <w:rFonts w:cs="David" w:hint="cs"/>
          <w:rtl/>
        </w:rPr>
        <w:t xml:space="preserve"> </w:t>
      </w:r>
      <w:r w:rsidR="008D2F38" w:rsidRPr="00FF00BF">
        <w:rPr>
          <w:rFonts w:cs="David" w:hint="cs"/>
          <w:rtl/>
        </w:rPr>
        <w:t>ולעולם לא ייפגשו? בתוך א</w:t>
      </w:r>
      <w:r>
        <w:rPr>
          <w:rFonts w:cs="David" w:hint="cs"/>
          <w:rtl/>
        </w:rPr>
        <w:t xml:space="preserve">. </w:t>
      </w:r>
      <w:r w:rsidR="008D2F38" w:rsidRPr="00FF00BF">
        <w:rPr>
          <w:rFonts w:cs="David" w:hint="cs"/>
          <w:rtl/>
        </w:rPr>
        <w:t xml:space="preserve">שביט </w:t>
      </w:r>
      <w:r w:rsidR="00E53818">
        <w:rPr>
          <w:rFonts w:cs="David" w:hint="cs"/>
          <w:rtl/>
        </w:rPr>
        <w:t xml:space="preserve">  </w:t>
      </w:r>
    </w:p>
    <w:p w:rsidR="008D2F38" w:rsidRPr="00FF00BF" w:rsidRDefault="00E53818" w:rsidP="00582A31">
      <w:pPr>
        <w:spacing w:line="360" w:lineRule="auto"/>
        <w:jc w:val="both"/>
        <w:rPr>
          <w:rFonts w:cs="David"/>
          <w:i/>
          <w:iCs/>
        </w:rPr>
      </w:pPr>
      <w:r>
        <w:rPr>
          <w:rFonts w:cs="David" w:hint="cs"/>
          <w:rtl/>
        </w:rPr>
        <w:t xml:space="preserve">       </w:t>
      </w:r>
      <w:r w:rsidR="00FF00BF">
        <w:rPr>
          <w:rFonts w:cs="David" w:hint="cs"/>
          <w:rtl/>
        </w:rPr>
        <w:t xml:space="preserve">(עורך). (2010). </w:t>
      </w:r>
      <w:r w:rsidR="008D2F38" w:rsidRPr="00FF00BF">
        <w:rPr>
          <w:rFonts w:cs="David" w:hint="cs"/>
          <w:i/>
          <w:iCs/>
          <w:rtl/>
        </w:rPr>
        <w:t>שקיעת המערב, עליית האסלאם</w:t>
      </w:r>
      <w:r w:rsidR="008D2F38" w:rsidRPr="00FF00BF">
        <w:rPr>
          <w:rFonts w:cs="David" w:hint="cs"/>
          <w:rtl/>
        </w:rPr>
        <w:t>?</w:t>
      </w:r>
      <w:r w:rsidR="00582A31">
        <w:rPr>
          <w:rFonts w:cs="David" w:hint="cs"/>
          <w:rtl/>
        </w:rPr>
        <w:t>(</w:t>
      </w:r>
      <w:r w:rsidR="00582A31" w:rsidRPr="00582A31">
        <w:rPr>
          <w:rFonts w:cs="David"/>
          <w:i/>
          <w:iCs/>
          <w:rtl/>
        </w:rPr>
        <w:t xml:space="preserve"> ע"ע 114-132 </w:t>
      </w:r>
      <w:r w:rsidR="00582A31" w:rsidRPr="00582A31">
        <w:rPr>
          <w:rFonts w:cs="David" w:hint="cs"/>
          <w:rtl/>
        </w:rPr>
        <w:t>).</w:t>
      </w:r>
      <w:r w:rsidR="008D2F38" w:rsidRPr="00582A31">
        <w:rPr>
          <w:rFonts w:cs="David" w:hint="cs"/>
          <w:rtl/>
        </w:rPr>
        <w:t xml:space="preserve"> </w:t>
      </w:r>
      <w:r w:rsidR="00FF00BF" w:rsidRPr="00582A31">
        <w:rPr>
          <w:rFonts w:cs="David" w:hint="cs"/>
          <w:rtl/>
        </w:rPr>
        <w:t>תל אביב: הקיבוץ המאוחד</w:t>
      </w:r>
      <w:r w:rsidR="00582A31">
        <w:rPr>
          <w:rFonts w:cs="David" w:hint="cs"/>
          <w:i/>
          <w:iCs/>
          <w:rtl/>
        </w:rPr>
        <w:t>.</w:t>
      </w:r>
      <w:r w:rsidR="008D2F38" w:rsidRPr="00FF00BF">
        <w:rPr>
          <w:rFonts w:cs="David" w:hint="cs"/>
          <w:i/>
          <w:iCs/>
          <w:rtl/>
        </w:rPr>
        <w:t xml:space="preserve"> </w:t>
      </w:r>
    </w:p>
    <w:p w:rsidR="008D2F38" w:rsidRPr="0095623F" w:rsidRDefault="008D2F38" w:rsidP="00AB082C">
      <w:pPr>
        <w:bidi w:val="0"/>
        <w:spacing w:line="360" w:lineRule="auto"/>
        <w:jc w:val="right"/>
        <w:rPr>
          <w:rFonts w:cs="David"/>
          <w:i/>
          <w:iCs/>
        </w:rPr>
      </w:pPr>
    </w:p>
    <w:p w:rsidR="008D2F38" w:rsidRPr="0095623F" w:rsidRDefault="008D2F38" w:rsidP="00AB082C">
      <w:pPr>
        <w:spacing w:line="360" w:lineRule="auto"/>
        <w:rPr>
          <w:rFonts w:cs="David"/>
          <w:rtl/>
        </w:rPr>
      </w:pPr>
      <w:r w:rsidRPr="0095623F">
        <w:rPr>
          <w:rFonts w:cs="David" w:hint="cs"/>
          <w:rtl/>
        </w:rPr>
        <w:t xml:space="preserve">  8.  קידמה, מודרניות, ומדע </w:t>
      </w:r>
      <w:r w:rsidRPr="0095623F">
        <w:rPr>
          <w:rFonts w:cs="David"/>
          <w:rtl/>
        </w:rPr>
        <w:t>–</w:t>
      </w:r>
      <w:r w:rsidRPr="0095623F">
        <w:rPr>
          <w:rFonts w:cs="David" w:hint="cs"/>
          <w:rtl/>
        </w:rPr>
        <w:t xml:space="preserve"> התפישה האסלאמית לזרמיה</w:t>
      </w:r>
    </w:p>
    <w:p w:rsidR="00AB082C" w:rsidRPr="00AB082C" w:rsidRDefault="00E53818" w:rsidP="00AB082C">
      <w:pPr>
        <w:bidi w:val="0"/>
        <w:spacing w:line="360" w:lineRule="auto"/>
        <w:jc w:val="right"/>
        <w:rPr>
          <w:rFonts w:cs="David"/>
          <w:rtl/>
        </w:rPr>
      </w:pPr>
      <w:r>
        <w:rPr>
          <w:rFonts w:cs="David" w:hint="cs"/>
          <w:rtl/>
        </w:rPr>
        <w:t xml:space="preserve">       </w:t>
      </w:r>
      <w:proofErr w:type="spellStart"/>
      <w:r w:rsidR="008D2F38" w:rsidRPr="0095623F">
        <w:rPr>
          <w:rFonts w:cs="David" w:hint="cs"/>
          <w:rtl/>
        </w:rPr>
        <w:t>עג'מי</w:t>
      </w:r>
      <w:proofErr w:type="spellEnd"/>
      <w:r w:rsidR="008D2F38" w:rsidRPr="0095623F">
        <w:rPr>
          <w:rFonts w:cs="David" w:hint="cs"/>
          <w:rtl/>
        </w:rPr>
        <w:t>, פ.</w:t>
      </w:r>
      <w:r w:rsidR="00FF00BF">
        <w:rPr>
          <w:rFonts w:cs="David" w:hint="cs"/>
          <w:rtl/>
        </w:rPr>
        <w:t xml:space="preserve"> </w:t>
      </w:r>
      <w:r w:rsidR="008D2F38" w:rsidRPr="0095623F">
        <w:rPr>
          <w:rFonts w:cs="David" w:hint="cs"/>
          <w:rtl/>
        </w:rPr>
        <w:t>(2001)</w:t>
      </w:r>
      <w:r w:rsidR="00FF00BF">
        <w:rPr>
          <w:rFonts w:cs="David" w:hint="cs"/>
          <w:rtl/>
        </w:rPr>
        <w:t>.</w:t>
      </w:r>
      <w:r w:rsidR="008D2F38" w:rsidRPr="0095623F">
        <w:rPr>
          <w:rFonts w:cs="David" w:hint="cs"/>
          <w:rtl/>
        </w:rPr>
        <w:t xml:space="preserve"> </w:t>
      </w:r>
      <w:r w:rsidR="008D2F38" w:rsidRPr="00FF00BF">
        <w:rPr>
          <w:rFonts w:cs="David" w:hint="cs"/>
          <w:i/>
          <w:iCs/>
          <w:rtl/>
        </w:rPr>
        <w:t xml:space="preserve">מלכוד, ערביות וערבים מאז </w:t>
      </w:r>
      <w:r w:rsidR="00582A31">
        <w:rPr>
          <w:rFonts w:cs="David" w:hint="cs"/>
          <w:rtl/>
        </w:rPr>
        <w:t xml:space="preserve"> </w:t>
      </w:r>
      <w:r w:rsidR="008D2F38" w:rsidRPr="00FF00BF">
        <w:rPr>
          <w:rFonts w:cs="David" w:hint="cs"/>
          <w:i/>
          <w:iCs/>
          <w:rtl/>
        </w:rPr>
        <w:t>1967</w:t>
      </w:r>
      <w:r w:rsidR="00582A31">
        <w:rPr>
          <w:rFonts w:cs="David" w:hint="cs"/>
          <w:rtl/>
        </w:rPr>
        <w:t>.</w:t>
      </w:r>
      <w:r w:rsidR="00AB082C">
        <w:rPr>
          <w:rFonts w:cs="David" w:hint="cs"/>
          <w:rtl/>
        </w:rPr>
        <w:t xml:space="preserve"> (</w:t>
      </w:r>
      <w:r w:rsidR="00AB082C" w:rsidRPr="00AB082C">
        <w:rPr>
          <w:rFonts w:cs="David"/>
          <w:rtl/>
        </w:rPr>
        <w:t>ע"ע 313-350</w:t>
      </w:r>
      <w:r w:rsidR="00AB082C">
        <w:rPr>
          <w:rFonts w:cs="David" w:hint="cs"/>
          <w:rtl/>
        </w:rPr>
        <w:t>).</w:t>
      </w:r>
      <w:r>
        <w:rPr>
          <w:rFonts w:cs="David" w:hint="cs"/>
          <w:rtl/>
        </w:rPr>
        <w:t xml:space="preserve"> תל אביב: ידיעות אחרונות. </w:t>
      </w:r>
      <w:r w:rsidR="00AB082C">
        <w:rPr>
          <w:rFonts w:cs="David"/>
        </w:rPr>
        <w:t xml:space="preserve">  </w:t>
      </w:r>
      <w:r w:rsidR="00AB082C">
        <w:rPr>
          <w:rFonts w:cs="David" w:hint="cs"/>
          <w:rtl/>
        </w:rPr>
        <w:t xml:space="preserve">       </w:t>
      </w:r>
    </w:p>
    <w:p w:rsidR="00E53818" w:rsidRDefault="00AB082C" w:rsidP="00AB082C">
      <w:pPr>
        <w:bidi w:val="0"/>
        <w:spacing w:line="360" w:lineRule="auto"/>
        <w:jc w:val="right"/>
        <w:rPr>
          <w:rFonts w:cs="David"/>
        </w:rPr>
      </w:pPr>
      <w:r>
        <w:rPr>
          <w:rFonts w:cs="David" w:hint="cs"/>
          <w:rtl/>
        </w:rPr>
        <w:t xml:space="preserve">      </w:t>
      </w:r>
      <w:proofErr w:type="spellStart"/>
      <w:r w:rsidR="008D2F38" w:rsidRPr="0095623F">
        <w:rPr>
          <w:rFonts w:cs="David" w:hint="cs"/>
          <w:rtl/>
        </w:rPr>
        <w:t>אלמהדי</w:t>
      </w:r>
      <w:proofErr w:type="spellEnd"/>
      <w:r w:rsidR="008D2F38" w:rsidRPr="0095623F">
        <w:rPr>
          <w:rFonts w:cs="David" w:hint="cs"/>
          <w:rtl/>
        </w:rPr>
        <w:t>, א. (2001)</w:t>
      </w:r>
      <w:r w:rsidR="00E53818">
        <w:rPr>
          <w:rFonts w:cs="David" w:hint="cs"/>
          <w:rtl/>
        </w:rPr>
        <w:t>.</w:t>
      </w:r>
      <w:r w:rsidR="008D2F38" w:rsidRPr="0095623F">
        <w:rPr>
          <w:rFonts w:cs="David" w:hint="cs"/>
          <w:rtl/>
        </w:rPr>
        <w:t xml:space="preserve"> </w:t>
      </w:r>
      <w:r w:rsidR="008D2F38" w:rsidRPr="00E53818">
        <w:rPr>
          <w:rFonts w:cs="David" w:hint="cs"/>
          <w:i/>
          <w:iCs/>
          <w:rtl/>
        </w:rPr>
        <w:t>הדעה האחרת</w:t>
      </w:r>
      <w:r w:rsidR="00E53818">
        <w:rPr>
          <w:rFonts w:cs="David" w:hint="cs"/>
          <w:rtl/>
        </w:rPr>
        <w:t>.</w:t>
      </w:r>
      <w:r w:rsidR="00582A31">
        <w:rPr>
          <w:rFonts w:cs="David" w:hint="cs"/>
          <w:rtl/>
        </w:rPr>
        <w:t>(ע"ע 45-76).</w:t>
      </w:r>
      <w:r w:rsidR="00E53818">
        <w:rPr>
          <w:rFonts w:cs="David" w:hint="cs"/>
          <w:rtl/>
        </w:rPr>
        <w:t xml:space="preserve"> </w:t>
      </w:r>
      <w:r w:rsidR="002074E3">
        <w:rPr>
          <w:rFonts w:cs="David" w:hint="cs"/>
          <w:rtl/>
        </w:rPr>
        <w:t>תל אביב: הקיבוץ המאוחד.</w:t>
      </w:r>
      <w:r w:rsidR="008D2F38" w:rsidRPr="0095623F">
        <w:rPr>
          <w:rFonts w:cs="David" w:hint="cs"/>
          <w:rtl/>
        </w:rPr>
        <w:t xml:space="preserve"> </w:t>
      </w:r>
      <w:r w:rsidR="00E53818">
        <w:rPr>
          <w:rFonts w:cs="David"/>
        </w:rPr>
        <w:t xml:space="preserve">    </w:t>
      </w:r>
    </w:p>
    <w:p w:rsidR="008D2F38" w:rsidRPr="0095623F" w:rsidRDefault="00E53818" w:rsidP="00AB082C">
      <w:pPr>
        <w:bidi w:val="0"/>
        <w:spacing w:line="360" w:lineRule="auto"/>
        <w:jc w:val="right"/>
        <w:rPr>
          <w:rFonts w:cs="David"/>
        </w:rPr>
      </w:pPr>
      <w:r>
        <w:rPr>
          <w:rFonts w:cs="David"/>
        </w:rPr>
        <w:t xml:space="preserve"> </w:t>
      </w:r>
      <w:r w:rsidR="008D2F38" w:rsidRPr="0095623F">
        <w:rPr>
          <w:rFonts w:cs="David"/>
        </w:rPr>
        <w:t xml:space="preserve"> </w:t>
      </w:r>
    </w:p>
    <w:p w:rsidR="008D2F38" w:rsidRPr="0095623F" w:rsidRDefault="008D2F38" w:rsidP="00AB082C">
      <w:pPr>
        <w:bidi w:val="0"/>
        <w:spacing w:line="360" w:lineRule="auto"/>
        <w:rPr>
          <w:rFonts w:cs="David"/>
        </w:rPr>
      </w:pPr>
    </w:p>
    <w:p w:rsidR="008D2F38" w:rsidRPr="0095623F" w:rsidRDefault="008D2F38" w:rsidP="00AB082C">
      <w:pPr>
        <w:spacing w:line="360" w:lineRule="auto"/>
        <w:rPr>
          <w:rFonts w:cs="David"/>
          <w:rtl/>
        </w:rPr>
      </w:pPr>
      <w:r w:rsidRPr="0095623F">
        <w:rPr>
          <w:rFonts w:cs="David"/>
          <w:rtl/>
        </w:rPr>
        <w:t xml:space="preserve"> </w:t>
      </w:r>
      <w:r w:rsidRPr="0095623F">
        <w:rPr>
          <w:rFonts w:cs="David" w:hint="cs"/>
          <w:rtl/>
        </w:rPr>
        <w:t>9.  התנגשות תרבויות או מפגש תרבויות</w:t>
      </w:r>
    </w:p>
    <w:p w:rsidR="00B12359" w:rsidRDefault="00D14B85" w:rsidP="00AB082C">
      <w:pPr>
        <w:spacing w:line="360" w:lineRule="auto"/>
        <w:jc w:val="right"/>
        <w:rPr>
          <w:rFonts w:cs="David"/>
        </w:rPr>
      </w:pPr>
      <w:proofErr w:type="spellStart"/>
      <w:r w:rsidRPr="0095623F">
        <w:rPr>
          <w:rFonts w:cs="David"/>
        </w:rPr>
        <w:t>Kepel</w:t>
      </w:r>
      <w:proofErr w:type="spellEnd"/>
      <w:r w:rsidRPr="0095623F">
        <w:rPr>
          <w:rFonts w:cs="David"/>
        </w:rPr>
        <w:t>, G</w:t>
      </w:r>
      <w:r w:rsidR="002074E3">
        <w:rPr>
          <w:rFonts w:cs="David"/>
        </w:rPr>
        <w:t>.</w:t>
      </w:r>
      <w:r w:rsidR="00AB082C">
        <w:rPr>
          <w:rFonts w:cs="David"/>
        </w:rPr>
        <w:t xml:space="preserve"> </w:t>
      </w:r>
      <w:r w:rsidRPr="0095623F">
        <w:rPr>
          <w:rFonts w:cs="David"/>
        </w:rPr>
        <w:t>(2004</w:t>
      </w:r>
      <w:r w:rsidRPr="002074E3">
        <w:rPr>
          <w:rFonts w:cs="David"/>
          <w:i/>
          <w:iCs/>
        </w:rPr>
        <w:t>). The War for Muslim Mind</w:t>
      </w:r>
      <w:r w:rsidR="002074E3">
        <w:rPr>
          <w:rFonts w:cs="David"/>
        </w:rPr>
        <w:t>s</w:t>
      </w:r>
      <w:proofErr w:type="gramStart"/>
      <w:r w:rsidRPr="0095623F">
        <w:rPr>
          <w:rFonts w:cs="David"/>
        </w:rPr>
        <w:t>.</w:t>
      </w:r>
      <w:r w:rsidR="00B12359">
        <w:rPr>
          <w:rFonts w:cs="David"/>
        </w:rPr>
        <w:t>(</w:t>
      </w:r>
      <w:proofErr w:type="gramEnd"/>
      <w:r w:rsidR="00B12359" w:rsidRPr="00B12359">
        <w:t xml:space="preserve"> </w:t>
      </w:r>
      <w:r w:rsidR="00B12359" w:rsidRPr="00B12359">
        <w:rPr>
          <w:rFonts w:cs="David"/>
        </w:rPr>
        <w:t>Pp.108-152</w:t>
      </w:r>
      <w:r w:rsidR="00B12359">
        <w:rPr>
          <w:rFonts w:cs="David"/>
        </w:rPr>
        <w:t>).</w:t>
      </w:r>
      <w:r w:rsidRPr="0095623F">
        <w:rPr>
          <w:rFonts w:cs="David"/>
        </w:rPr>
        <w:t xml:space="preserve"> </w:t>
      </w:r>
      <w:r w:rsidR="002074E3">
        <w:rPr>
          <w:rFonts w:cs="David"/>
        </w:rPr>
        <w:t xml:space="preserve">Cambridge: Belknap </w:t>
      </w:r>
      <w:r w:rsidR="00B12359">
        <w:rPr>
          <w:rFonts w:cs="David"/>
        </w:rPr>
        <w:t xml:space="preserve"> </w:t>
      </w:r>
    </w:p>
    <w:p w:rsidR="0092158A" w:rsidRDefault="00B12359" w:rsidP="00AB082C">
      <w:pPr>
        <w:spacing w:line="360" w:lineRule="auto"/>
        <w:jc w:val="right"/>
        <w:rPr>
          <w:rFonts w:cs="David"/>
          <w:rtl/>
        </w:rPr>
      </w:pPr>
      <w:r>
        <w:rPr>
          <w:rFonts w:cs="David"/>
        </w:rPr>
        <w:t xml:space="preserve">  </w:t>
      </w:r>
      <w:proofErr w:type="gramStart"/>
      <w:r w:rsidR="002074E3">
        <w:rPr>
          <w:rFonts w:cs="David"/>
        </w:rPr>
        <w:t>Press.</w:t>
      </w:r>
      <w:proofErr w:type="gramEnd"/>
      <w:r>
        <w:rPr>
          <w:rFonts w:cs="David" w:hint="cs"/>
          <w:rtl/>
        </w:rPr>
        <w:t xml:space="preserve"> </w:t>
      </w:r>
    </w:p>
    <w:p w:rsidR="008D2F38" w:rsidRPr="0095623F" w:rsidRDefault="008D2F38" w:rsidP="008D2F38">
      <w:pPr>
        <w:bidi w:val="0"/>
        <w:rPr>
          <w:rFonts w:cs="David"/>
        </w:rPr>
      </w:pPr>
    </w:p>
    <w:p w:rsidR="00B25A62" w:rsidRDefault="008D2F38" w:rsidP="00AB082C">
      <w:pPr>
        <w:spacing w:line="360" w:lineRule="auto"/>
        <w:rPr>
          <w:rFonts w:cs="David"/>
          <w:rtl/>
        </w:rPr>
      </w:pPr>
      <w:r w:rsidRPr="0095623F">
        <w:rPr>
          <w:rFonts w:cs="David" w:hint="cs"/>
          <w:rtl/>
        </w:rPr>
        <w:t xml:space="preserve">10. הגותו של טהה חוסין על המערב. </w:t>
      </w:r>
    </w:p>
    <w:p w:rsidR="008D2F38" w:rsidRPr="0095623F" w:rsidRDefault="00B25A62" w:rsidP="00AB082C">
      <w:pPr>
        <w:spacing w:line="360" w:lineRule="auto"/>
        <w:rPr>
          <w:rFonts w:cs="David"/>
          <w:rtl/>
        </w:rPr>
      </w:pPr>
      <w:r>
        <w:rPr>
          <w:rFonts w:cs="David" w:hint="cs"/>
          <w:rtl/>
        </w:rPr>
        <w:t xml:space="preserve">      </w:t>
      </w:r>
      <w:proofErr w:type="spellStart"/>
      <w:r w:rsidR="008D2F38" w:rsidRPr="0095623F">
        <w:rPr>
          <w:rFonts w:cs="David" w:hint="cs"/>
          <w:rtl/>
        </w:rPr>
        <w:t>קופלביץ</w:t>
      </w:r>
      <w:proofErr w:type="spellEnd"/>
      <w:r w:rsidR="008D2F38" w:rsidRPr="0095623F">
        <w:rPr>
          <w:rFonts w:cs="David" w:hint="cs"/>
          <w:rtl/>
        </w:rPr>
        <w:t>, ע</w:t>
      </w:r>
      <w:r w:rsidR="002074E3">
        <w:rPr>
          <w:rFonts w:cs="David" w:hint="cs"/>
          <w:rtl/>
        </w:rPr>
        <w:t>.</w:t>
      </w:r>
      <w:r w:rsidR="008D2F38" w:rsidRPr="0095623F">
        <w:rPr>
          <w:rFonts w:cs="David" w:hint="cs"/>
          <w:rtl/>
        </w:rPr>
        <w:t xml:space="preserve"> (עורך).</w:t>
      </w:r>
      <w:r w:rsidR="002074E3">
        <w:rPr>
          <w:rFonts w:cs="David" w:hint="cs"/>
          <w:rtl/>
        </w:rPr>
        <w:t>(2001).</w:t>
      </w:r>
      <w:r w:rsidR="008D2F38" w:rsidRPr="0095623F">
        <w:rPr>
          <w:rFonts w:cs="David" w:hint="cs"/>
          <w:rtl/>
        </w:rPr>
        <w:t xml:space="preserve"> </w:t>
      </w:r>
      <w:proofErr w:type="spellStart"/>
      <w:r w:rsidR="008D2F38" w:rsidRPr="002074E3">
        <w:rPr>
          <w:rFonts w:cs="David" w:hint="cs"/>
          <w:i/>
          <w:iCs/>
          <w:rtl/>
        </w:rPr>
        <w:t>טהא</w:t>
      </w:r>
      <w:proofErr w:type="spellEnd"/>
      <w:r w:rsidR="008D2F38" w:rsidRPr="002074E3">
        <w:rPr>
          <w:rFonts w:cs="David" w:hint="cs"/>
          <w:i/>
          <w:iCs/>
          <w:rtl/>
        </w:rPr>
        <w:t xml:space="preserve"> </w:t>
      </w:r>
      <w:proofErr w:type="spellStart"/>
      <w:r w:rsidR="008D2F38" w:rsidRPr="002074E3">
        <w:rPr>
          <w:rFonts w:cs="David" w:hint="cs"/>
          <w:i/>
          <w:iCs/>
          <w:rtl/>
        </w:rPr>
        <w:t>חוסין</w:t>
      </w:r>
      <w:proofErr w:type="spellEnd"/>
      <w:r w:rsidR="008D2F38" w:rsidRPr="002074E3">
        <w:rPr>
          <w:rFonts w:cs="David" w:hint="cs"/>
          <w:i/>
          <w:iCs/>
          <w:rtl/>
        </w:rPr>
        <w:t xml:space="preserve"> והתחדשותה של מצריים. מבחר קטעים מכתביו.</w:t>
      </w:r>
      <w:r w:rsidR="002074E3">
        <w:rPr>
          <w:rFonts w:cs="David" w:hint="cs"/>
          <w:rtl/>
        </w:rPr>
        <w:t xml:space="preserve"> </w:t>
      </w:r>
      <w:r w:rsidR="00B12359">
        <w:rPr>
          <w:rFonts w:cs="David" w:hint="cs"/>
          <w:rtl/>
        </w:rPr>
        <w:t>(</w:t>
      </w:r>
      <w:r w:rsidR="00B12359" w:rsidRPr="00B12359">
        <w:rPr>
          <w:rFonts w:cs="David"/>
          <w:rtl/>
        </w:rPr>
        <w:t>ע"ע 231-268</w:t>
      </w:r>
      <w:r w:rsidR="00B12359">
        <w:rPr>
          <w:rFonts w:cs="David" w:hint="cs"/>
          <w:rtl/>
        </w:rPr>
        <w:t>).</w:t>
      </w:r>
      <w:r>
        <w:rPr>
          <w:rFonts w:cs="David" w:hint="cs"/>
          <w:rtl/>
        </w:rPr>
        <w:t xml:space="preserve"> </w:t>
      </w:r>
      <w:r w:rsidR="002074E3">
        <w:rPr>
          <w:rFonts w:cs="David" w:hint="cs"/>
          <w:rtl/>
        </w:rPr>
        <w:t>ירושלים: מוסד ביאליק.</w:t>
      </w:r>
    </w:p>
    <w:p w:rsidR="008D2F38" w:rsidRPr="0095623F" w:rsidRDefault="008D2F38" w:rsidP="00AB082C">
      <w:pPr>
        <w:spacing w:line="360" w:lineRule="auto"/>
        <w:rPr>
          <w:rFonts w:cs="David"/>
          <w:rtl/>
        </w:rPr>
      </w:pPr>
      <w:r w:rsidRPr="0095623F">
        <w:rPr>
          <w:rFonts w:cs="David" w:hint="cs"/>
          <w:rtl/>
        </w:rPr>
        <w:t>11. כיבוש צבאי פלישה תרבותית- שתי מלחמות עירק</w:t>
      </w:r>
    </w:p>
    <w:p w:rsidR="00B25A62" w:rsidRDefault="008D2F38" w:rsidP="00B12359">
      <w:pPr>
        <w:bidi w:val="0"/>
        <w:spacing w:line="360" w:lineRule="auto"/>
        <w:rPr>
          <w:rFonts w:cs="David"/>
          <w:i/>
          <w:iCs/>
        </w:rPr>
      </w:pPr>
      <w:proofErr w:type="spellStart"/>
      <w:r w:rsidRPr="0095623F">
        <w:rPr>
          <w:rFonts w:cs="David"/>
        </w:rPr>
        <w:t>Renshon</w:t>
      </w:r>
      <w:proofErr w:type="spellEnd"/>
      <w:r w:rsidRPr="0095623F">
        <w:rPr>
          <w:rFonts w:cs="David"/>
        </w:rPr>
        <w:t>, S</w:t>
      </w:r>
      <w:r w:rsidR="00B25A62">
        <w:rPr>
          <w:rFonts w:cs="David"/>
        </w:rPr>
        <w:t>.</w:t>
      </w:r>
      <w:r w:rsidRPr="0095623F">
        <w:rPr>
          <w:rFonts w:cs="David"/>
        </w:rPr>
        <w:t>A. (</w:t>
      </w:r>
      <w:proofErr w:type="spellStart"/>
      <w:proofErr w:type="gramStart"/>
      <w:r w:rsidRPr="0095623F">
        <w:rPr>
          <w:rFonts w:cs="David"/>
        </w:rPr>
        <w:t>ed</w:t>
      </w:r>
      <w:proofErr w:type="spellEnd"/>
      <w:proofErr w:type="gramEnd"/>
      <w:r w:rsidRPr="0095623F">
        <w:rPr>
          <w:rFonts w:cs="David"/>
        </w:rPr>
        <w:t>).</w:t>
      </w:r>
      <w:r w:rsidR="00B25A62">
        <w:rPr>
          <w:rFonts w:cs="David"/>
        </w:rPr>
        <w:t xml:space="preserve"> </w:t>
      </w:r>
      <w:r w:rsidRPr="0095623F">
        <w:rPr>
          <w:rFonts w:cs="David"/>
        </w:rPr>
        <w:t xml:space="preserve">(1993). </w:t>
      </w:r>
      <w:proofErr w:type="gramStart"/>
      <w:r w:rsidRPr="0095623F">
        <w:rPr>
          <w:rFonts w:cs="David"/>
          <w:i/>
          <w:iCs/>
        </w:rPr>
        <w:t>The</w:t>
      </w:r>
      <w:proofErr w:type="gramEnd"/>
      <w:r w:rsidRPr="0095623F">
        <w:rPr>
          <w:rFonts w:cs="David"/>
          <w:i/>
          <w:iCs/>
        </w:rPr>
        <w:t xml:space="preserve"> Political Psychology of the Gulf War. Leaders, </w:t>
      </w:r>
      <w:r w:rsidR="00B25A62">
        <w:rPr>
          <w:rFonts w:cs="David"/>
          <w:i/>
          <w:iCs/>
        </w:rPr>
        <w:t xml:space="preserve"> </w:t>
      </w:r>
    </w:p>
    <w:p w:rsidR="00B12359" w:rsidRDefault="00B25A62" w:rsidP="00B12359">
      <w:pPr>
        <w:bidi w:val="0"/>
        <w:spacing w:line="360" w:lineRule="auto"/>
        <w:rPr>
          <w:rFonts w:cs="David"/>
        </w:rPr>
      </w:pPr>
      <w:r>
        <w:rPr>
          <w:rFonts w:cs="David"/>
          <w:i/>
          <w:iCs/>
        </w:rPr>
        <w:t xml:space="preserve">  </w:t>
      </w:r>
      <w:proofErr w:type="gramStart"/>
      <w:r w:rsidR="008D2F38" w:rsidRPr="0095623F">
        <w:rPr>
          <w:rFonts w:cs="David"/>
          <w:i/>
          <w:iCs/>
        </w:rPr>
        <w:t>Publics and the Process of Conflict.</w:t>
      </w:r>
      <w:proofErr w:type="gramEnd"/>
      <w:r w:rsidR="00B12359">
        <w:rPr>
          <w:rFonts w:cs="David"/>
        </w:rPr>
        <w:t xml:space="preserve"> (</w:t>
      </w:r>
      <w:r w:rsidR="00B12359" w:rsidRPr="00B12359">
        <w:rPr>
          <w:rFonts w:cs="David"/>
        </w:rPr>
        <w:t>Pp. 183-199</w:t>
      </w:r>
      <w:r w:rsidR="00B12359">
        <w:rPr>
          <w:rFonts w:cs="David"/>
        </w:rPr>
        <w:t>)</w:t>
      </w:r>
      <w:r w:rsidR="00B12359" w:rsidRPr="00B12359">
        <w:rPr>
          <w:rFonts w:cs="David"/>
        </w:rPr>
        <w:t>.</w:t>
      </w:r>
      <w:r>
        <w:rPr>
          <w:rFonts w:cs="David"/>
        </w:rPr>
        <w:t xml:space="preserve">Pittsburgh: The University of </w:t>
      </w:r>
      <w:r w:rsidR="00B12359">
        <w:rPr>
          <w:rFonts w:cs="David"/>
        </w:rPr>
        <w:t xml:space="preserve"> </w:t>
      </w:r>
    </w:p>
    <w:p w:rsidR="00B25A62" w:rsidRDefault="00B12359" w:rsidP="00B12359">
      <w:pPr>
        <w:bidi w:val="0"/>
        <w:spacing w:line="360" w:lineRule="auto"/>
        <w:rPr>
          <w:rFonts w:cs="David"/>
        </w:rPr>
      </w:pPr>
      <w:r>
        <w:rPr>
          <w:rFonts w:cs="David"/>
        </w:rPr>
        <w:t xml:space="preserve">  </w:t>
      </w:r>
      <w:proofErr w:type="gramStart"/>
      <w:r w:rsidR="00B25A62">
        <w:rPr>
          <w:rFonts w:cs="David"/>
        </w:rPr>
        <w:t>Pittsburgh Press.</w:t>
      </w:r>
      <w:proofErr w:type="gramEnd"/>
      <w:r w:rsidR="00B25A62">
        <w:rPr>
          <w:rFonts w:cs="David"/>
        </w:rPr>
        <w:t xml:space="preserve">  </w:t>
      </w:r>
    </w:p>
    <w:p w:rsidR="008D2F38" w:rsidRPr="0095623F" w:rsidRDefault="00B25A62" w:rsidP="00B12359">
      <w:pPr>
        <w:bidi w:val="0"/>
        <w:rPr>
          <w:rFonts w:cs="David"/>
          <w:i/>
          <w:iCs/>
        </w:rPr>
      </w:pPr>
      <w:r>
        <w:rPr>
          <w:rFonts w:cs="David"/>
        </w:rPr>
        <w:t xml:space="preserve">  </w:t>
      </w:r>
    </w:p>
    <w:p w:rsidR="008D2F38" w:rsidRPr="0095623F" w:rsidRDefault="008D2F38" w:rsidP="008D2F38">
      <w:pPr>
        <w:rPr>
          <w:rFonts w:cs="David"/>
          <w:i/>
          <w:iCs/>
          <w:rtl/>
        </w:rPr>
      </w:pPr>
      <w:r w:rsidRPr="0095623F">
        <w:rPr>
          <w:rFonts w:cs="David" w:hint="cs"/>
          <w:i/>
          <w:iCs/>
          <w:rtl/>
        </w:rPr>
        <w:t>.</w:t>
      </w:r>
    </w:p>
    <w:p w:rsidR="008D2F38" w:rsidRPr="0095623F" w:rsidRDefault="008D2F38" w:rsidP="00AB082C">
      <w:pPr>
        <w:spacing w:line="360" w:lineRule="auto"/>
        <w:rPr>
          <w:rFonts w:cs="David"/>
          <w:rtl/>
        </w:rPr>
      </w:pPr>
      <w:r w:rsidRPr="0095623F">
        <w:rPr>
          <w:rFonts w:cs="David" w:hint="cs"/>
          <w:rtl/>
        </w:rPr>
        <w:t xml:space="preserve">12. סוכני תרבות מודרניים:    </w:t>
      </w:r>
    </w:p>
    <w:p w:rsidR="008D2F38" w:rsidRPr="0095623F" w:rsidRDefault="008D2F38" w:rsidP="00AB082C">
      <w:pPr>
        <w:spacing w:line="360" w:lineRule="auto"/>
        <w:rPr>
          <w:rFonts w:cs="David"/>
          <w:rtl/>
        </w:rPr>
      </w:pPr>
      <w:r w:rsidRPr="0095623F">
        <w:rPr>
          <w:rFonts w:cs="David" w:hint="cs"/>
          <w:rtl/>
        </w:rPr>
        <w:t xml:space="preserve">א. </w:t>
      </w:r>
      <w:r w:rsidRPr="0095623F">
        <w:rPr>
          <w:rFonts w:cs="David"/>
          <w:rtl/>
        </w:rPr>
        <w:t>המסגד העולמי בכפר הגלובלי.</w:t>
      </w:r>
    </w:p>
    <w:p w:rsidR="00B12359" w:rsidRDefault="008D2F38" w:rsidP="00AB082C">
      <w:pPr>
        <w:bidi w:val="0"/>
        <w:spacing w:line="360" w:lineRule="auto"/>
        <w:rPr>
          <w:rFonts w:cs="David"/>
        </w:rPr>
      </w:pPr>
      <w:proofErr w:type="spellStart"/>
      <w:r w:rsidRPr="0095623F">
        <w:rPr>
          <w:rFonts w:cs="David"/>
        </w:rPr>
        <w:t>Eickelman</w:t>
      </w:r>
      <w:proofErr w:type="gramStart"/>
      <w:r w:rsidRPr="0095623F">
        <w:rPr>
          <w:rFonts w:cs="David"/>
        </w:rPr>
        <w:t>,D</w:t>
      </w:r>
      <w:proofErr w:type="spellEnd"/>
      <w:proofErr w:type="gramEnd"/>
      <w:r w:rsidR="00B25A62">
        <w:rPr>
          <w:rFonts w:cs="David"/>
        </w:rPr>
        <w:t>.</w:t>
      </w:r>
      <w:r w:rsidRPr="0095623F">
        <w:rPr>
          <w:rFonts w:cs="David"/>
        </w:rPr>
        <w:t xml:space="preserve"> and Anderson, J</w:t>
      </w:r>
      <w:r w:rsidR="00B25A62">
        <w:rPr>
          <w:rFonts w:cs="David"/>
        </w:rPr>
        <w:t>.</w:t>
      </w:r>
      <w:r w:rsidRPr="0095623F">
        <w:rPr>
          <w:rFonts w:cs="David"/>
        </w:rPr>
        <w:t xml:space="preserve"> (ed.)(2003) </w:t>
      </w:r>
      <w:r w:rsidRPr="0095623F">
        <w:rPr>
          <w:rFonts w:cs="David"/>
          <w:i/>
          <w:iCs/>
        </w:rPr>
        <w:t>New Media in the Muslim World.</w:t>
      </w:r>
      <w:r w:rsidR="00B12359">
        <w:rPr>
          <w:rFonts w:cs="David"/>
        </w:rPr>
        <w:t>(</w:t>
      </w:r>
      <w:r w:rsidR="00B25A62">
        <w:rPr>
          <w:rFonts w:cs="David"/>
        </w:rPr>
        <w:t xml:space="preserve"> </w:t>
      </w:r>
      <w:r w:rsidR="00B12359" w:rsidRPr="00B12359">
        <w:rPr>
          <w:rFonts w:cs="David"/>
        </w:rPr>
        <w:t>Pp. 33-</w:t>
      </w:r>
      <w:r w:rsidR="00B12359">
        <w:rPr>
          <w:rFonts w:cs="David"/>
        </w:rPr>
        <w:t xml:space="preserve"> </w:t>
      </w:r>
    </w:p>
    <w:p w:rsidR="008D2F38" w:rsidRPr="0095623F" w:rsidRDefault="00B12359" w:rsidP="00AB082C">
      <w:pPr>
        <w:bidi w:val="0"/>
        <w:spacing w:line="360" w:lineRule="auto"/>
        <w:rPr>
          <w:rFonts w:cs="David"/>
          <w:i/>
          <w:iCs/>
        </w:rPr>
      </w:pPr>
      <w:r>
        <w:rPr>
          <w:rFonts w:cs="David"/>
        </w:rPr>
        <w:t xml:space="preserve">   </w:t>
      </w:r>
      <w:r w:rsidRPr="00B12359">
        <w:rPr>
          <w:rFonts w:cs="David"/>
        </w:rPr>
        <w:t>45</w:t>
      </w:r>
      <w:r>
        <w:rPr>
          <w:rFonts w:cs="David"/>
        </w:rPr>
        <w:t>).</w:t>
      </w:r>
      <w:r w:rsidR="00B25A62">
        <w:rPr>
          <w:rFonts w:cs="David"/>
        </w:rPr>
        <w:t xml:space="preserve"> Bloomington: Indiana University Press.</w:t>
      </w:r>
      <w:r>
        <w:rPr>
          <w:rFonts w:cs="David"/>
        </w:rPr>
        <w:t xml:space="preserve"> </w:t>
      </w:r>
    </w:p>
    <w:p w:rsidR="008D2F38" w:rsidRPr="0095623F" w:rsidRDefault="008D2F38" w:rsidP="00AB082C">
      <w:pPr>
        <w:spacing w:line="360" w:lineRule="auto"/>
        <w:rPr>
          <w:rFonts w:cs="David"/>
          <w:rtl/>
        </w:rPr>
      </w:pPr>
      <w:r w:rsidRPr="0095623F">
        <w:rPr>
          <w:rFonts w:cs="David" w:hint="cs"/>
          <w:rtl/>
        </w:rPr>
        <w:t xml:space="preserve"> ב. </w:t>
      </w:r>
      <w:r w:rsidRPr="0095623F">
        <w:rPr>
          <w:rFonts w:cs="David"/>
          <w:rtl/>
        </w:rPr>
        <w:t xml:space="preserve"> אינטרנט ותחנות לווין.</w:t>
      </w:r>
    </w:p>
    <w:p w:rsidR="00B12359" w:rsidRDefault="008D2F38" w:rsidP="00AB082C">
      <w:pPr>
        <w:bidi w:val="0"/>
        <w:spacing w:line="360" w:lineRule="auto"/>
        <w:rPr>
          <w:rFonts w:cs="David"/>
        </w:rPr>
      </w:pPr>
      <w:proofErr w:type="spellStart"/>
      <w:r w:rsidRPr="0095623F">
        <w:rPr>
          <w:rFonts w:cs="David"/>
        </w:rPr>
        <w:t>Eickelman</w:t>
      </w:r>
      <w:proofErr w:type="spellEnd"/>
      <w:r w:rsidRPr="0095623F">
        <w:rPr>
          <w:rFonts w:cs="David"/>
        </w:rPr>
        <w:t>, D</w:t>
      </w:r>
      <w:r w:rsidR="00A6207F">
        <w:rPr>
          <w:rFonts w:cs="David"/>
        </w:rPr>
        <w:t>.</w:t>
      </w:r>
      <w:r w:rsidRPr="0095623F">
        <w:rPr>
          <w:rFonts w:cs="David"/>
        </w:rPr>
        <w:t xml:space="preserve"> and Anderson, J</w:t>
      </w:r>
      <w:r w:rsidR="00A6207F">
        <w:rPr>
          <w:rFonts w:cs="David"/>
        </w:rPr>
        <w:t>.</w:t>
      </w:r>
      <w:r w:rsidRPr="0095623F">
        <w:rPr>
          <w:rFonts w:cs="David"/>
        </w:rPr>
        <w:t xml:space="preserve"> (ed.)</w:t>
      </w:r>
      <w:proofErr w:type="gramStart"/>
      <w:r w:rsidR="00A6207F">
        <w:rPr>
          <w:rFonts w:cs="David"/>
        </w:rPr>
        <w:t>.</w:t>
      </w:r>
      <w:r w:rsidRPr="0095623F">
        <w:rPr>
          <w:rFonts w:cs="David"/>
        </w:rPr>
        <w:t>(</w:t>
      </w:r>
      <w:proofErr w:type="gramEnd"/>
      <w:r w:rsidRPr="0095623F">
        <w:rPr>
          <w:rFonts w:cs="David"/>
        </w:rPr>
        <w:t xml:space="preserve">2003) </w:t>
      </w:r>
      <w:r w:rsidRPr="0095623F">
        <w:rPr>
          <w:rFonts w:cs="David"/>
          <w:i/>
          <w:iCs/>
        </w:rPr>
        <w:t>New Media in the Muslim World</w:t>
      </w:r>
      <w:r w:rsidR="00A6207F">
        <w:rPr>
          <w:rFonts w:cs="David"/>
        </w:rPr>
        <w:t>.</w:t>
      </w:r>
      <w:r w:rsidR="00B12359">
        <w:rPr>
          <w:rFonts w:cs="David"/>
        </w:rPr>
        <w:t xml:space="preserve">  </w:t>
      </w:r>
    </w:p>
    <w:p w:rsidR="008D2F38" w:rsidRPr="0095623F" w:rsidRDefault="00B12359" w:rsidP="00AB082C">
      <w:pPr>
        <w:bidi w:val="0"/>
        <w:spacing w:line="360" w:lineRule="auto"/>
        <w:rPr>
          <w:rFonts w:cs="David"/>
          <w:i/>
          <w:iCs/>
        </w:rPr>
      </w:pPr>
      <w:r>
        <w:rPr>
          <w:rFonts w:cs="David"/>
        </w:rPr>
        <w:t xml:space="preserve">   </w:t>
      </w:r>
      <w:r w:rsidR="00A6207F">
        <w:rPr>
          <w:rFonts w:cs="David"/>
        </w:rPr>
        <w:t>Bloomington: Indiana University Press. Pp.</w:t>
      </w:r>
      <w:r w:rsidR="008D2F38" w:rsidRPr="0095623F">
        <w:rPr>
          <w:rFonts w:cs="David"/>
          <w:i/>
          <w:iCs/>
        </w:rPr>
        <w:t xml:space="preserve"> 45-61 </w:t>
      </w:r>
    </w:p>
    <w:p w:rsidR="008D2F38" w:rsidRPr="0095623F" w:rsidRDefault="008D2F38" w:rsidP="008D2F38"/>
    <w:p w:rsidR="008D2F38" w:rsidRPr="0095623F" w:rsidRDefault="008D2F38" w:rsidP="008D2F38"/>
    <w:p w:rsidR="005661AD" w:rsidRPr="0095623F" w:rsidRDefault="005661AD"/>
    <w:sectPr w:rsidR="005661AD" w:rsidRPr="0095623F" w:rsidSect="00C6313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57635"/>
    <w:multiLevelType w:val="hybridMultilevel"/>
    <w:tmpl w:val="8DFC9C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7C7866"/>
    <w:multiLevelType w:val="hybridMultilevel"/>
    <w:tmpl w:val="BC323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38"/>
    <w:rsid w:val="00012675"/>
    <w:rsid w:val="00062286"/>
    <w:rsid w:val="000A01B8"/>
    <w:rsid w:val="001037C8"/>
    <w:rsid w:val="00192F71"/>
    <w:rsid w:val="001A7FE5"/>
    <w:rsid w:val="001C0075"/>
    <w:rsid w:val="001D370D"/>
    <w:rsid w:val="002074E3"/>
    <w:rsid w:val="0026289C"/>
    <w:rsid w:val="00262DE9"/>
    <w:rsid w:val="00282A78"/>
    <w:rsid w:val="00305E19"/>
    <w:rsid w:val="00312DFC"/>
    <w:rsid w:val="00322B1C"/>
    <w:rsid w:val="00327E4A"/>
    <w:rsid w:val="003C7B84"/>
    <w:rsid w:val="003E54F8"/>
    <w:rsid w:val="004135FA"/>
    <w:rsid w:val="0043680C"/>
    <w:rsid w:val="00447DCA"/>
    <w:rsid w:val="00496E29"/>
    <w:rsid w:val="004D6066"/>
    <w:rsid w:val="0051308E"/>
    <w:rsid w:val="005473C3"/>
    <w:rsid w:val="00551291"/>
    <w:rsid w:val="005661AD"/>
    <w:rsid w:val="00582A31"/>
    <w:rsid w:val="00671F47"/>
    <w:rsid w:val="00745AB6"/>
    <w:rsid w:val="00747C55"/>
    <w:rsid w:val="007C1431"/>
    <w:rsid w:val="00834F2C"/>
    <w:rsid w:val="0084129D"/>
    <w:rsid w:val="0088443B"/>
    <w:rsid w:val="008D2F38"/>
    <w:rsid w:val="0092158A"/>
    <w:rsid w:val="0095623F"/>
    <w:rsid w:val="009671C5"/>
    <w:rsid w:val="009F604A"/>
    <w:rsid w:val="00A03D33"/>
    <w:rsid w:val="00A2409D"/>
    <w:rsid w:val="00A6207F"/>
    <w:rsid w:val="00AB082C"/>
    <w:rsid w:val="00B12359"/>
    <w:rsid w:val="00B25A62"/>
    <w:rsid w:val="00BE615E"/>
    <w:rsid w:val="00C2477F"/>
    <w:rsid w:val="00C27BFF"/>
    <w:rsid w:val="00C853EF"/>
    <w:rsid w:val="00D14B85"/>
    <w:rsid w:val="00E53818"/>
    <w:rsid w:val="00E6516E"/>
    <w:rsid w:val="00E91CAB"/>
    <w:rsid w:val="00EA1970"/>
    <w:rsid w:val="00F65669"/>
    <w:rsid w:val="00FF00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צבי"/>
    <w:qFormat/>
    <w:rsid w:val="008D2F38"/>
    <w:pPr>
      <w:bidi/>
    </w:pPr>
    <w:rPr>
      <w:sz w:val="24"/>
      <w:szCs w:val="24"/>
      <w:lang w:eastAsia="he-IL"/>
    </w:rPr>
  </w:style>
  <w:style w:type="paragraph" w:styleId="1">
    <w:name w:val="heading 1"/>
    <w:basedOn w:val="a"/>
    <w:next w:val="a"/>
    <w:link w:val="10"/>
    <w:qFormat/>
    <w:rsid w:val="001037C8"/>
    <w:pPr>
      <w:keepNext/>
      <w:spacing w:before="240" w:after="60"/>
      <w:outlineLvl w:val="0"/>
    </w:pPr>
    <w:rPr>
      <w:rFonts w:asciiTheme="majorHAnsi" w:eastAsiaTheme="majorEastAsia" w:hAnsiTheme="majorHAnsi" w:cstheme="majorBidi"/>
      <w:b/>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037C8"/>
    <w:rPr>
      <w:rFonts w:asciiTheme="majorHAnsi" w:eastAsiaTheme="majorEastAsia" w:hAnsiTheme="majorHAnsi" w:cstheme="majorBidi"/>
      <w:b/>
      <w:bCs/>
      <w:kern w:val="32"/>
      <w:sz w:val="32"/>
      <w:szCs w:val="32"/>
    </w:rPr>
  </w:style>
  <w:style w:type="paragraph" w:styleId="a3">
    <w:name w:val="Body Text"/>
    <w:basedOn w:val="a"/>
    <w:link w:val="a4"/>
    <w:semiHidden/>
    <w:rsid w:val="008D2F38"/>
    <w:pPr>
      <w:spacing w:line="480" w:lineRule="auto"/>
    </w:pPr>
    <w:rPr>
      <w:rFonts w:cs="Tahoma"/>
      <w:noProof/>
      <w:sz w:val="28"/>
      <w:szCs w:val="22"/>
    </w:rPr>
  </w:style>
  <w:style w:type="character" w:customStyle="1" w:styleId="a4">
    <w:name w:val="גוף טקסט תו"/>
    <w:basedOn w:val="a0"/>
    <w:link w:val="a3"/>
    <w:semiHidden/>
    <w:rsid w:val="008D2F38"/>
    <w:rPr>
      <w:rFonts w:cs="Tahoma"/>
      <w:noProof/>
      <w:sz w:val="28"/>
      <w:szCs w:val="22"/>
      <w:lang w:eastAsia="he-IL"/>
    </w:rPr>
  </w:style>
  <w:style w:type="character" w:styleId="Hyperlink">
    <w:name w:val="Hyperlink"/>
    <w:basedOn w:val="a0"/>
    <w:semiHidden/>
    <w:rsid w:val="008D2F38"/>
    <w:rPr>
      <w:color w:val="0000FF"/>
      <w:u w:val="single"/>
    </w:rPr>
  </w:style>
  <w:style w:type="paragraph" w:styleId="a5">
    <w:name w:val="List Paragraph"/>
    <w:basedOn w:val="a"/>
    <w:uiPriority w:val="34"/>
    <w:qFormat/>
    <w:rsid w:val="008D2F38"/>
    <w:pPr>
      <w:ind w:left="720"/>
      <w:contextualSpacing/>
    </w:pPr>
  </w:style>
  <w:style w:type="paragraph" w:styleId="a6">
    <w:name w:val="Balloon Text"/>
    <w:basedOn w:val="a"/>
    <w:link w:val="a7"/>
    <w:uiPriority w:val="99"/>
    <w:semiHidden/>
    <w:unhideWhenUsed/>
    <w:rsid w:val="000A01B8"/>
    <w:rPr>
      <w:rFonts w:ascii="Tahoma" w:hAnsi="Tahoma" w:cs="Tahoma"/>
      <w:sz w:val="16"/>
      <w:szCs w:val="16"/>
    </w:rPr>
  </w:style>
  <w:style w:type="character" w:customStyle="1" w:styleId="a7">
    <w:name w:val="טקסט בלונים תו"/>
    <w:basedOn w:val="a0"/>
    <w:link w:val="a6"/>
    <w:uiPriority w:val="99"/>
    <w:semiHidden/>
    <w:rsid w:val="000A01B8"/>
    <w:rPr>
      <w:rFonts w:ascii="Tahoma"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צבי"/>
    <w:qFormat/>
    <w:rsid w:val="008D2F38"/>
    <w:pPr>
      <w:bidi/>
    </w:pPr>
    <w:rPr>
      <w:sz w:val="24"/>
      <w:szCs w:val="24"/>
      <w:lang w:eastAsia="he-IL"/>
    </w:rPr>
  </w:style>
  <w:style w:type="paragraph" w:styleId="1">
    <w:name w:val="heading 1"/>
    <w:basedOn w:val="a"/>
    <w:next w:val="a"/>
    <w:link w:val="10"/>
    <w:qFormat/>
    <w:rsid w:val="001037C8"/>
    <w:pPr>
      <w:keepNext/>
      <w:spacing w:before="240" w:after="60"/>
      <w:outlineLvl w:val="0"/>
    </w:pPr>
    <w:rPr>
      <w:rFonts w:asciiTheme="majorHAnsi" w:eastAsiaTheme="majorEastAsia" w:hAnsiTheme="majorHAnsi" w:cstheme="majorBidi"/>
      <w:b/>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037C8"/>
    <w:rPr>
      <w:rFonts w:asciiTheme="majorHAnsi" w:eastAsiaTheme="majorEastAsia" w:hAnsiTheme="majorHAnsi" w:cstheme="majorBidi"/>
      <w:b/>
      <w:bCs/>
      <w:kern w:val="32"/>
      <w:sz w:val="32"/>
      <w:szCs w:val="32"/>
    </w:rPr>
  </w:style>
  <w:style w:type="paragraph" w:styleId="a3">
    <w:name w:val="Body Text"/>
    <w:basedOn w:val="a"/>
    <w:link w:val="a4"/>
    <w:semiHidden/>
    <w:rsid w:val="008D2F38"/>
    <w:pPr>
      <w:spacing w:line="480" w:lineRule="auto"/>
    </w:pPr>
    <w:rPr>
      <w:rFonts w:cs="Tahoma"/>
      <w:noProof/>
      <w:sz w:val="28"/>
      <w:szCs w:val="22"/>
    </w:rPr>
  </w:style>
  <w:style w:type="character" w:customStyle="1" w:styleId="a4">
    <w:name w:val="גוף טקסט תו"/>
    <w:basedOn w:val="a0"/>
    <w:link w:val="a3"/>
    <w:semiHidden/>
    <w:rsid w:val="008D2F38"/>
    <w:rPr>
      <w:rFonts w:cs="Tahoma"/>
      <w:noProof/>
      <w:sz w:val="28"/>
      <w:szCs w:val="22"/>
      <w:lang w:eastAsia="he-IL"/>
    </w:rPr>
  </w:style>
  <w:style w:type="character" w:styleId="Hyperlink">
    <w:name w:val="Hyperlink"/>
    <w:basedOn w:val="a0"/>
    <w:semiHidden/>
    <w:rsid w:val="008D2F38"/>
    <w:rPr>
      <w:color w:val="0000FF"/>
      <w:u w:val="single"/>
    </w:rPr>
  </w:style>
  <w:style w:type="paragraph" w:styleId="a5">
    <w:name w:val="List Paragraph"/>
    <w:basedOn w:val="a"/>
    <w:uiPriority w:val="34"/>
    <w:qFormat/>
    <w:rsid w:val="008D2F38"/>
    <w:pPr>
      <w:ind w:left="720"/>
      <w:contextualSpacing/>
    </w:pPr>
  </w:style>
  <w:style w:type="paragraph" w:styleId="a6">
    <w:name w:val="Balloon Text"/>
    <w:basedOn w:val="a"/>
    <w:link w:val="a7"/>
    <w:uiPriority w:val="99"/>
    <w:semiHidden/>
    <w:unhideWhenUsed/>
    <w:rsid w:val="000A01B8"/>
    <w:rPr>
      <w:rFonts w:ascii="Tahoma" w:hAnsi="Tahoma" w:cs="Tahoma"/>
      <w:sz w:val="16"/>
      <w:szCs w:val="16"/>
    </w:rPr>
  </w:style>
  <w:style w:type="character" w:customStyle="1" w:styleId="a7">
    <w:name w:val="טקסט בלונים תו"/>
    <w:basedOn w:val="a0"/>
    <w:link w:val="a6"/>
    <w:uiPriority w:val="99"/>
    <w:semiHidden/>
    <w:rsid w:val="000A01B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ilke@netvision.net.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647</Words>
  <Characters>3240</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zvi</dc:creator>
  <cp:lastModifiedBy>Adi Gorfinkel</cp:lastModifiedBy>
  <cp:revision>7</cp:revision>
  <dcterms:created xsi:type="dcterms:W3CDTF">2014-12-22T13:10:00Z</dcterms:created>
  <dcterms:modified xsi:type="dcterms:W3CDTF">2014-12-24T07:23:00Z</dcterms:modified>
</cp:coreProperties>
</file>